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113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4338"/>
      </w:tblGrid>
      <w:tr w:rsidR="00334FA1" w:rsidRPr="00D877D1" w:rsidTr="007F580A">
        <w:tc>
          <w:tcPr>
            <w:tcW w:w="9576" w:type="dxa"/>
            <w:gridSpan w:val="2"/>
            <w:tcBorders>
              <w:top w:val="nil"/>
              <w:left w:val="nil"/>
              <w:bottom w:val="thinThickSmallGap" w:sz="24" w:space="0" w:color="auto"/>
              <w:right w:val="nil"/>
            </w:tcBorders>
          </w:tcPr>
          <w:p w:rsidR="00334FA1" w:rsidRPr="00D877D1" w:rsidRDefault="00906362" w:rsidP="007F580A">
            <w:pPr>
              <w:spacing w:after="0" w:line="240" w:lineRule="auto"/>
            </w:pPr>
            <w:bookmarkStart w:id="0" w:name="_GoBack"/>
            <w:bookmarkEnd w:id="0"/>
            <w:r w:rsidRPr="000115BD">
              <w:rPr>
                <w:noProof/>
              </w:rPr>
              <w:drawing>
                <wp:inline distT="0" distB="0" distL="0" distR="0">
                  <wp:extent cx="6377940" cy="1417320"/>
                  <wp:effectExtent l="0" t="0" r="0" b="0"/>
                  <wp:docPr id="1" name="Picture 3" descr="Description: SR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RES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7940" cy="1417320"/>
                          </a:xfrm>
                          <a:prstGeom prst="rect">
                            <a:avLst/>
                          </a:prstGeom>
                          <a:noFill/>
                          <a:ln>
                            <a:noFill/>
                          </a:ln>
                        </pic:spPr>
                      </pic:pic>
                    </a:graphicData>
                  </a:graphic>
                </wp:inline>
              </w:drawing>
            </w:r>
          </w:p>
        </w:tc>
      </w:tr>
      <w:tr w:rsidR="00334FA1" w:rsidRPr="00D877D1" w:rsidTr="008629AC">
        <w:trPr>
          <w:trHeight w:val="20"/>
        </w:trPr>
        <w:tc>
          <w:tcPr>
            <w:tcW w:w="5238" w:type="dxa"/>
            <w:tcBorders>
              <w:top w:val="thickThinSmallGap" w:sz="24" w:space="0" w:color="auto"/>
              <w:left w:val="nil"/>
              <w:bottom w:val="thickThinSmallGap" w:sz="24" w:space="0" w:color="auto"/>
              <w:right w:val="nil"/>
            </w:tcBorders>
            <w:shd w:val="clear" w:color="auto" w:fill="C0C0C0"/>
          </w:tcPr>
          <w:p w:rsidR="00334FA1" w:rsidRPr="005F55AE" w:rsidRDefault="006A6A38" w:rsidP="007F580A">
            <w:pPr>
              <w:tabs>
                <w:tab w:val="left" w:pos="1073"/>
                <w:tab w:val="left" w:pos="1440"/>
              </w:tabs>
              <w:spacing w:after="0" w:line="240" w:lineRule="auto"/>
              <w:rPr>
                <w:rFonts w:ascii="Cambria" w:hAnsi="Cambria"/>
                <w:b/>
                <w:sz w:val="24"/>
                <w:szCs w:val="24"/>
              </w:rPr>
            </w:pPr>
            <w:r>
              <w:rPr>
                <w:rFonts w:ascii="Cambria" w:hAnsi="Cambria"/>
                <w:b/>
                <w:sz w:val="24"/>
                <w:szCs w:val="24"/>
              </w:rPr>
              <w:t>Consumer Newsletter –</w:t>
            </w:r>
            <w:r w:rsidR="000B60FC">
              <w:rPr>
                <w:rFonts w:ascii="Cambria" w:hAnsi="Cambria"/>
                <w:b/>
                <w:sz w:val="24"/>
                <w:szCs w:val="24"/>
              </w:rPr>
              <w:t xml:space="preserve"> </w:t>
            </w:r>
            <w:r w:rsidR="006D357F">
              <w:rPr>
                <w:rFonts w:ascii="Cambria" w:hAnsi="Cambria"/>
                <w:b/>
                <w:sz w:val="24"/>
                <w:szCs w:val="24"/>
              </w:rPr>
              <w:t>November</w:t>
            </w:r>
            <w:r w:rsidR="00692A34">
              <w:rPr>
                <w:rFonts w:ascii="Cambria" w:hAnsi="Cambria"/>
                <w:b/>
                <w:sz w:val="24"/>
                <w:szCs w:val="24"/>
              </w:rPr>
              <w:t xml:space="preserve"> 2017</w:t>
            </w:r>
          </w:p>
          <w:p w:rsidR="00334FA1" w:rsidRPr="00D169D7" w:rsidRDefault="00334FA1" w:rsidP="007F580A">
            <w:pPr>
              <w:rPr>
                <w:rFonts w:ascii="Arial" w:hAnsi="Arial"/>
                <w:sz w:val="24"/>
                <w:szCs w:val="24"/>
              </w:rPr>
            </w:pPr>
            <w:r w:rsidRPr="00B3722F">
              <w:rPr>
                <w:rFonts w:ascii="Cambria" w:hAnsi="Cambria"/>
                <w:sz w:val="24"/>
                <w:szCs w:val="24"/>
              </w:rPr>
              <w:t>By Elyse Umlauf-Garneau</w:t>
            </w:r>
          </w:p>
        </w:tc>
        <w:tc>
          <w:tcPr>
            <w:tcW w:w="4338" w:type="dxa"/>
            <w:tcBorders>
              <w:top w:val="thickThinSmallGap" w:sz="24" w:space="0" w:color="auto"/>
              <w:left w:val="nil"/>
              <w:bottom w:val="thickThinSmallGap" w:sz="24" w:space="0" w:color="auto"/>
              <w:right w:val="nil"/>
            </w:tcBorders>
            <w:shd w:val="clear" w:color="auto" w:fill="C0C0C0"/>
          </w:tcPr>
          <w:p w:rsidR="00334FA1" w:rsidRPr="00B3722F" w:rsidRDefault="007F580A" w:rsidP="007F580A">
            <w:pPr>
              <w:spacing w:after="0" w:line="240" w:lineRule="auto"/>
              <w:jc w:val="right"/>
              <w:rPr>
                <w:rFonts w:ascii="Cambria" w:hAnsi="Cambria"/>
                <w:b/>
                <w:sz w:val="24"/>
                <w:szCs w:val="24"/>
              </w:rPr>
            </w:pPr>
            <w:hyperlink r:id="rId9" w:history="1">
              <w:r w:rsidR="00334FA1" w:rsidRPr="00B3722F">
                <w:rPr>
                  <w:rStyle w:val="Hyperlink"/>
                  <w:rFonts w:ascii="Cambria" w:hAnsi="Cambria"/>
                  <w:sz w:val="24"/>
                  <w:szCs w:val="24"/>
                </w:rPr>
                <w:t>www.sres.org</w:t>
              </w:r>
            </w:hyperlink>
          </w:p>
        </w:tc>
      </w:tr>
    </w:tbl>
    <w:p w:rsidR="00095608" w:rsidRDefault="00095608" w:rsidP="005E2D46">
      <w:pPr>
        <w:rPr>
          <w:rFonts w:ascii="Century Gothic" w:hAnsi="Century Gothic"/>
          <w:b/>
          <w:sz w:val="36"/>
          <w:szCs w:val="36"/>
        </w:rPr>
        <w:sectPr w:rsidR="00095608" w:rsidSect="00D111D2">
          <w:type w:val="continuous"/>
          <w:pgSz w:w="12240" w:h="15840"/>
          <w:pgMar w:top="1440" w:right="1440" w:bottom="1440" w:left="1440" w:header="720" w:footer="720" w:gutter="0"/>
          <w:cols w:num="2" w:space="720"/>
          <w:docGrid w:linePitch="360"/>
        </w:sectPr>
      </w:pPr>
    </w:p>
    <w:p w:rsidR="00450982" w:rsidRDefault="00450982" w:rsidP="00F4586D">
      <w:pPr>
        <w:rPr>
          <w:rFonts w:ascii="Century Gothic" w:eastAsia="Times New Roman" w:hAnsi="Century Gothic" w:cs="Arial"/>
          <w:b/>
          <w:sz w:val="20"/>
          <w:szCs w:val="20"/>
        </w:rPr>
      </w:pPr>
    </w:p>
    <w:p w:rsidR="00450982" w:rsidRPr="00450982" w:rsidRDefault="00450982" w:rsidP="00F4586D">
      <w:pPr>
        <w:rPr>
          <w:rFonts w:ascii="Century Gothic" w:hAnsi="Century Gothic" w:cs="Arial"/>
          <w:sz w:val="36"/>
          <w:szCs w:val="36"/>
        </w:rPr>
      </w:pPr>
      <w:r w:rsidRPr="00450982">
        <w:rPr>
          <w:rFonts w:ascii="Century Gothic" w:hAnsi="Century Gothic"/>
          <w:b/>
          <w:sz w:val="36"/>
          <w:szCs w:val="36"/>
        </w:rPr>
        <w:t>Insight on Millennials, Home Upgrades, Urban Retirement</w:t>
      </w:r>
      <w:r w:rsidRPr="00450982">
        <w:rPr>
          <w:rFonts w:ascii="Century Gothic" w:hAnsi="Century Gothic" w:cs="Arial"/>
          <w:sz w:val="36"/>
          <w:szCs w:val="36"/>
        </w:rPr>
        <w:t xml:space="preserve"> </w:t>
      </w:r>
    </w:p>
    <w:p w:rsidR="00450982" w:rsidRPr="00450982" w:rsidRDefault="00450982" w:rsidP="00450982">
      <w:pPr>
        <w:rPr>
          <w:rFonts w:ascii="Century Gothic" w:hAnsi="Century Gothic"/>
        </w:rPr>
      </w:pPr>
      <w:r w:rsidRPr="00450982">
        <w:rPr>
          <w:rFonts w:ascii="Century Gothic" w:hAnsi="Century Gothic"/>
        </w:rPr>
        <w:t xml:space="preserve">Whether you’re curious about millennials’ financial challenges, seniors’ strong taste for urban living, or the year’s best home renovation projects, check out some of the research that has come out in recent months. </w:t>
      </w:r>
    </w:p>
    <w:p w:rsidR="00450982" w:rsidRPr="00450982" w:rsidRDefault="00450982" w:rsidP="00450982">
      <w:pPr>
        <w:rPr>
          <w:rFonts w:ascii="Century Gothic" w:hAnsi="Century Gothic"/>
        </w:rPr>
      </w:pPr>
      <w:r w:rsidRPr="00450982">
        <w:rPr>
          <w:rFonts w:ascii="Century Gothic" w:hAnsi="Century Gothic"/>
        </w:rPr>
        <w:t xml:space="preserve">The results may influence your short-term renovation decisions, clarify your housing plans, or prompt you to reconsider your retirement venue. </w:t>
      </w:r>
    </w:p>
    <w:p w:rsidR="00450982" w:rsidRPr="00450982" w:rsidRDefault="00450982" w:rsidP="00F4586D">
      <w:pPr>
        <w:spacing w:before="100" w:beforeAutospacing="1" w:after="100" w:afterAutospacing="1" w:line="240" w:lineRule="auto"/>
        <w:rPr>
          <w:rFonts w:ascii="Century Gothic" w:hAnsi="Century Gothic"/>
          <w:b/>
          <w:sz w:val="28"/>
          <w:szCs w:val="28"/>
        </w:rPr>
      </w:pPr>
      <w:r w:rsidRPr="00450982">
        <w:rPr>
          <w:rFonts w:ascii="Century Gothic" w:hAnsi="Century Gothic"/>
          <w:b/>
          <w:sz w:val="28"/>
          <w:szCs w:val="28"/>
        </w:rPr>
        <w:t xml:space="preserve">Millennials’ Financial Challenges </w:t>
      </w:r>
    </w:p>
    <w:p w:rsidR="00450982" w:rsidRPr="00450982" w:rsidRDefault="00450982" w:rsidP="00450982">
      <w:pPr>
        <w:rPr>
          <w:rFonts w:ascii="Century Gothic" w:hAnsi="Century Gothic"/>
        </w:rPr>
      </w:pPr>
      <w:r w:rsidRPr="00450982">
        <w:rPr>
          <w:rFonts w:ascii="Century Gothic" w:hAnsi="Century Gothic"/>
        </w:rPr>
        <w:t xml:space="preserve">The potential future buyers—Millennials--of your house are facing some financial challenges because of student loan debt. </w:t>
      </w:r>
    </w:p>
    <w:p w:rsidR="00450982" w:rsidRDefault="00450982" w:rsidP="00450982">
      <w:pPr>
        <w:rPr>
          <w:rFonts w:ascii="Century Gothic" w:hAnsi="Century Gothic"/>
        </w:rPr>
      </w:pPr>
      <w:r w:rsidRPr="00450982">
        <w:rPr>
          <w:rFonts w:ascii="Century Gothic" w:hAnsi="Century Gothic"/>
        </w:rPr>
        <w:t>The American Student Assistance</w:t>
      </w:r>
      <w:r w:rsidRPr="00450982">
        <w:rPr>
          <w:rFonts w:ascii="Century Gothic" w:hAnsi="Century Gothic"/>
          <w:vertAlign w:val="superscript"/>
        </w:rPr>
        <w:t>®</w:t>
      </w:r>
      <w:r w:rsidRPr="00450982">
        <w:rPr>
          <w:rFonts w:ascii="Century Gothic" w:hAnsi="Century Gothic"/>
        </w:rPr>
        <w:t xml:space="preserve"> and the National Association of REALTORS</w:t>
      </w:r>
      <w:r w:rsidRPr="00450982">
        <w:rPr>
          <w:rFonts w:ascii="Century Gothic" w:hAnsi="Century Gothic"/>
          <w:vertAlign w:val="superscript"/>
        </w:rPr>
        <w:t>®</w:t>
      </w:r>
      <w:r w:rsidRPr="00450982">
        <w:rPr>
          <w:rFonts w:ascii="Century Gothic" w:hAnsi="Century Gothic"/>
        </w:rPr>
        <w:t xml:space="preserve"> (</w:t>
      </w:r>
      <w:hyperlink r:id="rId10" w:history="1">
        <w:r w:rsidRPr="00450982">
          <w:rPr>
            <w:rStyle w:val="Hyperlink"/>
            <w:rFonts w:ascii="Century Gothic" w:hAnsi="Century Gothic"/>
          </w:rPr>
          <w:t>http://bit.ly/2zqGgN3</w:t>
        </w:r>
      </w:hyperlink>
      <w:r w:rsidRPr="00450982">
        <w:rPr>
          <w:rFonts w:ascii="Century Gothic" w:hAnsi="Century Gothic"/>
        </w:rPr>
        <w:t xml:space="preserve">) set out to find out the impact that student loan debt is having on Millennials’ ability to step into the housing arena. </w:t>
      </w:r>
    </w:p>
    <w:p w:rsidR="00450982" w:rsidRPr="00450982" w:rsidRDefault="00906362" w:rsidP="00450982">
      <w:pPr>
        <w:rPr>
          <w:rFonts w:ascii="Century Gothic" w:hAnsi="Century Gothic"/>
        </w:rPr>
      </w:pPr>
      <w:r w:rsidRPr="00450982">
        <w:rPr>
          <w:rFonts w:ascii="Century Gothic" w:hAnsi="Century Gothic"/>
          <w:noProof/>
        </w:rPr>
        <w:drawing>
          <wp:inline distT="0" distB="0" distL="0" distR="0">
            <wp:extent cx="5676900" cy="282702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0982" w:rsidRPr="006D357F" w:rsidRDefault="00906362" w:rsidP="00450982">
      <w:pPr>
        <w:rPr>
          <w:rFonts w:ascii="Century Gothic" w:hAnsi="Century Gothic"/>
        </w:rPr>
      </w:pPr>
      <w:r w:rsidRPr="006D357F">
        <w:rPr>
          <w:rFonts w:ascii="Century Gothic" w:hAnsi="Century Gothic"/>
          <w:noProof/>
        </w:rPr>
        <w:lastRenderedPageBreak/>
        <w:drawing>
          <wp:inline distT="0" distB="0" distL="0" distR="0">
            <wp:extent cx="5501640" cy="3215640"/>
            <wp:effectExtent l="0" t="0" r="0"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357F" w:rsidRPr="006D357F" w:rsidRDefault="006D357F" w:rsidP="00F4586D">
      <w:pPr>
        <w:rPr>
          <w:rFonts w:ascii="Century Gothic" w:hAnsi="Century Gothic"/>
          <w:sz w:val="28"/>
          <w:szCs w:val="28"/>
        </w:rPr>
      </w:pPr>
      <w:r w:rsidRPr="006D357F">
        <w:rPr>
          <w:rFonts w:ascii="Century Gothic" w:hAnsi="Century Gothic"/>
          <w:b/>
          <w:sz w:val="28"/>
          <w:szCs w:val="28"/>
        </w:rPr>
        <w:t xml:space="preserve">Seniors </w:t>
      </w:r>
      <w:r>
        <w:rPr>
          <w:rFonts w:ascii="Century Gothic" w:hAnsi="Century Gothic"/>
          <w:b/>
          <w:sz w:val="28"/>
          <w:szCs w:val="28"/>
        </w:rPr>
        <w:t>M</w:t>
      </w:r>
      <w:r w:rsidRPr="006D357F">
        <w:rPr>
          <w:rFonts w:ascii="Century Gothic" w:hAnsi="Century Gothic"/>
          <w:b/>
          <w:sz w:val="28"/>
          <w:szCs w:val="28"/>
        </w:rPr>
        <w:t xml:space="preserve">aintain </w:t>
      </w:r>
      <w:r>
        <w:rPr>
          <w:rFonts w:ascii="Century Gothic" w:hAnsi="Century Gothic"/>
          <w:b/>
          <w:sz w:val="28"/>
          <w:szCs w:val="28"/>
        </w:rPr>
        <w:t>T</w:t>
      </w:r>
      <w:r w:rsidRPr="006D357F">
        <w:rPr>
          <w:rFonts w:ascii="Century Gothic" w:hAnsi="Century Gothic"/>
          <w:b/>
          <w:sz w:val="28"/>
          <w:szCs w:val="28"/>
        </w:rPr>
        <w:t xml:space="preserve">aste for </w:t>
      </w:r>
      <w:r>
        <w:rPr>
          <w:rFonts w:ascii="Century Gothic" w:hAnsi="Century Gothic"/>
          <w:b/>
          <w:sz w:val="28"/>
          <w:szCs w:val="28"/>
        </w:rPr>
        <w:t>Urban L</w:t>
      </w:r>
      <w:r w:rsidRPr="006D357F">
        <w:rPr>
          <w:rFonts w:ascii="Century Gothic" w:hAnsi="Century Gothic"/>
          <w:b/>
          <w:sz w:val="28"/>
          <w:szCs w:val="28"/>
        </w:rPr>
        <w:t>iving</w:t>
      </w:r>
      <w:r w:rsidRPr="006D357F">
        <w:rPr>
          <w:rFonts w:ascii="Century Gothic" w:hAnsi="Century Gothic"/>
          <w:sz w:val="28"/>
          <w:szCs w:val="28"/>
        </w:rPr>
        <w:t xml:space="preserve"> </w:t>
      </w:r>
    </w:p>
    <w:p w:rsidR="006D357F" w:rsidRDefault="006D357F" w:rsidP="006D357F">
      <w:pPr>
        <w:rPr>
          <w:rFonts w:ascii="Century Gothic" w:hAnsi="Century Gothic"/>
        </w:rPr>
      </w:pPr>
      <w:r w:rsidRPr="00DF52FA">
        <w:rPr>
          <w:rFonts w:ascii="Century Gothic" w:hAnsi="Century Gothic"/>
        </w:rPr>
        <w:t xml:space="preserve">Seniors from Boston and Chicago, to Toronto and Los Angeles, have a strong taste for urban living and want to </w:t>
      </w:r>
      <w:r>
        <w:rPr>
          <w:rFonts w:ascii="Century Gothic" w:hAnsi="Century Gothic"/>
        </w:rPr>
        <w:t>live i</w:t>
      </w:r>
      <w:r w:rsidRPr="00DF52FA">
        <w:rPr>
          <w:rFonts w:ascii="Century Gothic" w:hAnsi="Century Gothic"/>
        </w:rPr>
        <w:t>n their cities when they’re over the age of 80, according to</w:t>
      </w:r>
      <w:r>
        <w:rPr>
          <w:rFonts w:ascii="Century Gothic" w:hAnsi="Century Gothic"/>
        </w:rPr>
        <w:t xml:space="preserve"> the</w:t>
      </w:r>
      <w:r w:rsidRPr="00DF52FA">
        <w:rPr>
          <w:rFonts w:ascii="Century Gothic" w:hAnsi="Century Gothic"/>
        </w:rPr>
        <w:t xml:space="preserve"> 2017</w:t>
      </w:r>
      <w:r>
        <w:rPr>
          <w:rFonts w:ascii="Century Gothic" w:hAnsi="Century Gothic"/>
        </w:rPr>
        <w:t xml:space="preserve"> </w:t>
      </w:r>
      <w:r w:rsidRPr="00DF52FA">
        <w:rPr>
          <w:rFonts w:ascii="Century Gothic" w:hAnsi="Century Gothic"/>
        </w:rPr>
        <w:t>Aging in Cities survey (</w:t>
      </w:r>
      <w:hyperlink r:id="rId13" w:history="1">
        <w:r w:rsidRPr="00DF52FA">
          <w:rPr>
            <w:rStyle w:val="Hyperlink"/>
            <w:rFonts w:ascii="Century Gothic" w:hAnsi="Century Gothic"/>
          </w:rPr>
          <w:t>http://prn.to/2ys7DI4</w:t>
        </w:r>
      </w:hyperlink>
      <w:r w:rsidRPr="00DF52FA">
        <w:rPr>
          <w:rFonts w:ascii="Century Gothic" w:hAnsi="Century Gothic"/>
        </w:rPr>
        <w:t xml:space="preserve">) by Welltower. Their concerns about city life include affordability, safety, access to health care, and mobility. </w:t>
      </w:r>
    </w:p>
    <w:p w:rsidR="006D357F" w:rsidRPr="00DF52FA" w:rsidRDefault="00906362" w:rsidP="006D357F">
      <w:pPr>
        <w:rPr>
          <w:rFonts w:ascii="Century Gothic" w:hAnsi="Century Gothic"/>
        </w:rPr>
      </w:pPr>
      <w:r w:rsidRPr="006D357F">
        <w:rPr>
          <w:rFonts w:ascii="Century Gothic" w:hAnsi="Century Gothic"/>
          <w:noProof/>
        </w:rPr>
        <w:drawing>
          <wp:inline distT="0" distB="0" distL="0" distR="0">
            <wp:extent cx="5501640" cy="3215640"/>
            <wp:effectExtent l="0" t="0" r="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357F" w:rsidRPr="006D357F" w:rsidRDefault="006D357F" w:rsidP="00F4586D">
      <w:pPr>
        <w:rPr>
          <w:rFonts w:ascii="Century Gothic" w:hAnsi="Century Gothic"/>
          <w:b/>
          <w:sz w:val="28"/>
          <w:szCs w:val="28"/>
        </w:rPr>
      </w:pPr>
      <w:r>
        <w:rPr>
          <w:rFonts w:ascii="Century Gothic" w:hAnsi="Century Gothic"/>
          <w:b/>
          <w:sz w:val="28"/>
          <w:szCs w:val="28"/>
        </w:rPr>
        <w:lastRenderedPageBreak/>
        <w:t>Top Remodeling P</w:t>
      </w:r>
      <w:r w:rsidRPr="006D357F">
        <w:rPr>
          <w:rFonts w:ascii="Century Gothic" w:hAnsi="Century Gothic"/>
          <w:b/>
          <w:sz w:val="28"/>
          <w:szCs w:val="28"/>
        </w:rPr>
        <w:t xml:space="preserve">rojects </w:t>
      </w:r>
    </w:p>
    <w:p w:rsidR="006D357F" w:rsidRDefault="006D357F" w:rsidP="006D357F">
      <w:pPr>
        <w:rPr>
          <w:rFonts w:ascii="Century Gothic" w:hAnsi="Century Gothic"/>
        </w:rPr>
      </w:pPr>
      <w:r>
        <w:rPr>
          <w:rFonts w:ascii="Century Gothic" w:hAnsi="Century Gothic"/>
        </w:rPr>
        <w:t xml:space="preserve">Read </w:t>
      </w:r>
      <w:r w:rsidRPr="00F675E1">
        <w:rPr>
          <w:rFonts w:ascii="Century Gothic" w:hAnsi="Century Gothic"/>
        </w:rPr>
        <w:t xml:space="preserve">NAR’s 2017 </w:t>
      </w:r>
      <w:r w:rsidRPr="00F675E1">
        <w:rPr>
          <w:rStyle w:val="Emphasis"/>
          <w:rFonts w:ascii="Century Gothic" w:hAnsi="Century Gothic"/>
        </w:rPr>
        <w:t>Remodeling Impact Report</w:t>
      </w:r>
      <w:r w:rsidRPr="00F675E1">
        <w:rPr>
          <w:rFonts w:ascii="Century Gothic" w:hAnsi="Century Gothic"/>
        </w:rPr>
        <w:t xml:space="preserve"> </w:t>
      </w:r>
      <w:r>
        <w:rPr>
          <w:rFonts w:ascii="Century Gothic" w:hAnsi="Century Gothic"/>
        </w:rPr>
        <w:t>(</w:t>
      </w:r>
      <w:r w:rsidRPr="006D5357">
        <w:rPr>
          <w:rFonts w:ascii="Century Gothic" w:hAnsi="Century Gothic"/>
        </w:rPr>
        <w:t>bit.ly/2hI0Joo</w:t>
      </w:r>
      <w:r>
        <w:rPr>
          <w:rFonts w:ascii="Century Gothic" w:hAnsi="Century Gothic"/>
        </w:rPr>
        <w:t xml:space="preserve">) to see the </w:t>
      </w:r>
      <w:r w:rsidRPr="00F675E1">
        <w:rPr>
          <w:rFonts w:ascii="Century Gothic" w:hAnsi="Century Gothic"/>
        </w:rPr>
        <w:t>remodeling projects that provide the greatest financial boost</w:t>
      </w:r>
      <w:r>
        <w:rPr>
          <w:rFonts w:ascii="Century Gothic" w:hAnsi="Century Gothic"/>
        </w:rPr>
        <w:t xml:space="preserve">. </w:t>
      </w:r>
    </w:p>
    <w:p w:rsidR="006D357F" w:rsidRPr="00F675E1" w:rsidRDefault="006D357F" w:rsidP="006D357F">
      <w:pPr>
        <w:pStyle w:val="NormalWeb"/>
        <w:rPr>
          <w:rFonts w:ascii="Century Gothic" w:hAnsi="Century Gothic"/>
          <w:sz w:val="22"/>
          <w:szCs w:val="22"/>
        </w:rPr>
      </w:pPr>
      <w:r w:rsidRPr="00F675E1">
        <w:rPr>
          <w:rFonts w:ascii="Century Gothic" w:hAnsi="Century Gothic"/>
          <w:sz w:val="22"/>
          <w:szCs w:val="22"/>
        </w:rPr>
        <w:t>Here’s a view of REALTORS</w:t>
      </w:r>
      <w:r w:rsidRPr="00F675E1">
        <w:rPr>
          <w:rFonts w:ascii="Century Gothic" w:hAnsi="Century Gothic"/>
          <w:sz w:val="22"/>
          <w:szCs w:val="22"/>
          <w:vertAlign w:val="superscript"/>
        </w:rPr>
        <w:t>®</w:t>
      </w:r>
      <w:r w:rsidRPr="00F675E1">
        <w:rPr>
          <w:rFonts w:ascii="Century Gothic" w:hAnsi="Century Gothic"/>
          <w:sz w:val="22"/>
          <w:szCs w:val="22"/>
        </w:rPr>
        <w:t xml:space="preserve"> top interior and exterior projects. </w:t>
      </w:r>
    </w:p>
    <w:tbl>
      <w:tblPr>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4675"/>
        <w:gridCol w:w="4675"/>
      </w:tblGrid>
      <w:tr w:rsidR="006D357F" w:rsidRPr="00F675E1" w:rsidTr="0060553B">
        <w:tc>
          <w:tcPr>
            <w:tcW w:w="4675" w:type="dxa"/>
            <w:tcBorders>
              <w:top w:val="single" w:sz="4" w:space="0" w:color="4A66AC"/>
              <w:left w:val="single" w:sz="4" w:space="0" w:color="4A66AC"/>
              <w:bottom w:val="single" w:sz="4" w:space="0" w:color="4A66AC"/>
              <w:right w:val="nil"/>
            </w:tcBorders>
            <w:shd w:val="clear" w:color="auto" w:fill="4A66AC"/>
          </w:tcPr>
          <w:p w:rsidR="006D357F" w:rsidRPr="0060553B" w:rsidRDefault="006D357F" w:rsidP="0060553B">
            <w:pPr>
              <w:pStyle w:val="NormalWeb"/>
              <w:rPr>
                <w:rFonts w:ascii="Century Gothic" w:hAnsi="Century Gothic"/>
                <w:b/>
                <w:bCs/>
                <w:color w:val="FFFFFF"/>
                <w:sz w:val="22"/>
                <w:szCs w:val="22"/>
              </w:rPr>
            </w:pPr>
            <w:r w:rsidRPr="0060553B">
              <w:rPr>
                <w:rFonts w:ascii="Century Gothic" w:hAnsi="Century Gothic"/>
                <w:b/>
                <w:bCs/>
                <w:color w:val="FFFFFF"/>
                <w:sz w:val="22"/>
                <w:szCs w:val="22"/>
              </w:rPr>
              <w:t>Interior Projects (REALTOR rank of projects’ likely value to the home for resale (highest to lowest)</w:t>
            </w:r>
          </w:p>
        </w:tc>
        <w:tc>
          <w:tcPr>
            <w:tcW w:w="4675" w:type="dxa"/>
            <w:tcBorders>
              <w:top w:val="single" w:sz="4" w:space="0" w:color="4A66AC"/>
              <w:left w:val="nil"/>
              <w:bottom w:val="single" w:sz="4" w:space="0" w:color="4A66AC"/>
              <w:right w:val="single" w:sz="4" w:space="0" w:color="4A66AC"/>
            </w:tcBorders>
            <w:shd w:val="clear" w:color="auto" w:fill="4A66AC"/>
          </w:tcPr>
          <w:p w:rsidR="006D357F" w:rsidRPr="0060553B" w:rsidRDefault="006D357F" w:rsidP="0060553B">
            <w:pPr>
              <w:pStyle w:val="NormalWeb"/>
              <w:rPr>
                <w:rFonts w:ascii="Century Gothic" w:hAnsi="Century Gothic"/>
                <w:b/>
                <w:bCs/>
                <w:color w:val="FFFFFF"/>
                <w:sz w:val="22"/>
                <w:szCs w:val="22"/>
              </w:rPr>
            </w:pPr>
            <w:r w:rsidRPr="0060553B">
              <w:rPr>
                <w:rFonts w:ascii="Century Gothic" w:hAnsi="Century Gothic"/>
                <w:bCs/>
                <w:color w:val="FFFFFF"/>
                <w:sz w:val="22"/>
                <w:szCs w:val="22"/>
              </w:rPr>
              <w:t>Exterior Projects (REALTOR rank of projects’ likely value to the home for resale (highest to lowest)</w:t>
            </w: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Complete kitchen renovation</w:t>
            </w:r>
          </w:p>
        </w:tc>
        <w:tc>
          <w:tcPr>
            <w:tcW w:w="4675" w:type="dxa"/>
            <w:shd w:val="clear" w:color="auto" w:fill="D9DFEF"/>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roofing</w:t>
            </w:r>
          </w:p>
        </w:tc>
      </w:tr>
      <w:tr w:rsidR="006D357F" w:rsidRPr="00F675E1" w:rsidTr="0060553B">
        <w:tc>
          <w:tcPr>
            <w:tcW w:w="4675" w:type="dxa"/>
            <w:shd w:val="clear" w:color="auto" w:fill="auto"/>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Kitchen upgrade</w:t>
            </w:r>
          </w:p>
        </w:tc>
        <w:tc>
          <w:tcPr>
            <w:tcW w:w="4675" w:type="dxa"/>
            <w:shd w:val="clear" w:color="auto" w:fill="auto"/>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vinyl windows</w:t>
            </w: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Bathroom renovation</w:t>
            </w:r>
          </w:p>
        </w:tc>
        <w:tc>
          <w:tcPr>
            <w:tcW w:w="4675" w:type="dxa"/>
            <w:shd w:val="clear" w:color="auto" w:fill="D9DFEF"/>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garage door</w:t>
            </w:r>
          </w:p>
        </w:tc>
      </w:tr>
      <w:tr w:rsidR="006D357F" w:rsidRPr="00F675E1" w:rsidTr="0060553B">
        <w:tc>
          <w:tcPr>
            <w:tcW w:w="4675" w:type="dxa"/>
            <w:shd w:val="clear" w:color="auto" w:fill="auto"/>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Add new bathroom</w:t>
            </w:r>
          </w:p>
        </w:tc>
        <w:tc>
          <w:tcPr>
            <w:tcW w:w="4675" w:type="dxa"/>
            <w:shd w:val="clear" w:color="auto" w:fill="auto"/>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vinyl siding</w:t>
            </w: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New master suite/owner’s suite</w:t>
            </w:r>
          </w:p>
        </w:tc>
        <w:tc>
          <w:tcPr>
            <w:tcW w:w="4675" w:type="dxa"/>
            <w:shd w:val="clear" w:color="auto" w:fill="D9DFEF"/>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wood windows</w:t>
            </w:r>
          </w:p>
        </w:tc>
      </w:tr>
      <w:tr w:rsidR="006D357F" w:rsidRPr="00F675E1" w:rsidTr="0060553B">
        <w:tc>
          <w:tcPr>
            <w:tcW w:w="4675" w:type="dxa"/>
            <w:shd w:val="clear" w:color="auto" w:fill="auto"/>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HVAC replacement</w:t>
            </w:r>
          </w:p>
        </w:tc>
        <w:tc>
          <w:tcPr>
            <w:tcW w:w="4675" w:type="dxa"/>
            <w:shd w:val="clear" w:color="auto" w:fill="auto"/>
          </w:tcPr>
          <w:p w:rsidR="006D357F" w:rsidRPr="0060553B" w:rsidRDefault="006D357F" w:rsidP="0060553B">
            <w:pPr>
              <w:pStyle w:val="Default"/>
              <w:rPr>
                <w:rFonts w:ascii="Century Gothic" w:hAnsi="Century Gothic"/>
                <w:b/>
                <w:sz w:val="22"/>
                <w:szCs w:val="22"/>
              </w:rPr>
            </w:pPr>
            <w:r w:rsidRPr="0060553B">
              <w:rPr>
                <w:rFonts w:ascii="Century Gothic" w:hAnsi="Century Gothic"/>
                <w:sz w:val="22"/>
                <w:szCs w:val="22"/>
              </w:rPr>
              <w:t>New steel front door</w:t>
            </w: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Hardwood flooring refinish</w:t>
            </w:r>
          </w:p>
        </w:tc>
        <w:tc>
          <w:tcPr>
            <w:tcW w:w="4675" w:type="dxa"/>
            <w:shd w:val="clear" w:color="auto" w:fill="D9DFEF"/>
          </w:tcPr>
          <w:p w:rsidR="006D357F" w:rsidRPr="0060553B" w:rsidRDefault="006D357F" w:rsidP="0060553B">
            <w:pPr>
              <w:pStyle w:val="NormalWeb"/>
              <w:rPr>
                <w:rFonts w:ascii="Century Gothic" w:hAnsi="Century Gothic"/>
                <w:sz w:val="22"/>
                <w:szCs w:val="22"/>
              </w:rPr>
            </w:pPr>
            <w:r w:rsidRPr="0060553B">
              <w:rPr>
                <w:rFonts w:ascii="Century Gothic" w:hAnsi="Century Gothic"/>
                <w:sz w:val="22"/>
                <w:szCs w:val="22"/>
              </w:rPr>
              <w:t>New fiber-cement siding</w:t>
            </w:r>
          </w:p>
        </w:tc>
      </w:tr>
      <w:tr w:rsidR="006D357F" w:rsidRPr="00F675E1" w:rsidTr="0060553B">
        <w:tc>
          <w:tcPr>
            <w:tcW w:w="4675" w:type="dxa"/>
            <w:shd w:val="clear" w:color="auto" w:fill="auto"/>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Basement conversion to living area</w:t>
            </w:r>
          </w:p>
        </w:tc>
        <w:tc>
          <w:tcPr>
            <w:tcW w:w="4675" w:type="dxa"/>
            <w:shd w:val="clear" w:color="auto" w:fill="auto"/>
          </w:tcPr>
          <w:p w:rsidR="006D357F" w:rsidRPr="0060553B" w:rsidRDefault="006D357F" w:rsidP="0060553B">
            <w:pPr>
              <w:pStyle w:val="NormalWeb"/>
              <w:rPr>
                <w:rFonts w:ascii="Century Gothic" w:hAnsi="Century Gothic"/>
                <w:sz w:val="22"/>
                <w:szCs w:val="22"/>
              </w:rPr>
            </w:pPr>
            <w:r w:rsidRPr="0060553B">
              <w:rPr>
                <w:rFonts w:ascii="Century Gothic" w:hAnsi="Century Gothic"/>
                <w:sz w:val="22"/>
                <w:szCs w:val="22"/>
              </w:rPr>
              <w:t>New fiberglass front door</w:t>
            </w: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Attic conversion to living area</w:t>
            </w:r>
          </w:p>
        </w:tc>
        <w:tc>
          <w:tcPr>
            <w:tcW w:w="4675" w:type="dxa"/>
            <w:shd w:val="clear" w:color="auto" w:fill="D9DFEF"/>
          </w:tcPr>
          <w:p w:rsidR="006D357F" w:rsidRPr="0060553B" w:rsidRDefault="006D357F" w:rsidP="0060553B">
            <w:pPr>
              <w:pStyle w:val="NormalWeb"/>
              <w:rPr>
                <w:rFonts w:ascii="Century Gothic" w:hAnsi="Century Gothic"/>
                <w:sz w:val="22"/>
                <w:szCs w:val="22"/>
              </w:rPr>
            </w:pPr>
          </w:p>
        </w:tc>
      </w:tr>
      <w:tr w:rsidR="006D357F" w:rsidRPr="00F675E1" w:rsidTr="0060553B">
        <w:tc>
          <w:tcPr>
            <w:tcW w:w="4675" w:type="dxa"/>
            <w:shd w:val="clear" w:color="auto" w:fill="auto"/>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Closet renovation</w:t>
            </w:r>
          </w:p>
        </w:tc>
        <w:tc>
          <w:tcPr>
            <w:tcW w:w="4675" w:type="dxa"/>
            <w:shd w:val="clear" w:color="auto" w:fill="auto"/>
          </w:tcPr>
          <w:p w:rsidR="006D357F" w:rsidRPr="0060553B" w:rsidRDefault="006D357F" w:rsidP="0060553B">
            <w:pPr>
              <w:pStyle w:val="NormalWeb"/>
              <w:rPr>
                <w:rFonts w:ascii="Century Gothic" w:hAnsi="Century Gothic"/>
                <w:sz w:val="22"/>
                <w:szCs w:val="22"/>
              </w:rPr>
            </w:pPr>
          </w:p>
        </w:tc>
      </w:tr>
      <w:tr w:rsidR="006D357F" w:rsidRPr="00F675E1" w:rsidTr="0060553B">
        <w:tc>
          <w:tcPr>
            <w:tcW w:w="4675" w:type="dxa"/>
            <w:shd w:val="clear" w:color="auto" w:fill="D9DFEF"/>
          </w:tcPr>
          <w:p w:rsidR="006D357F" w:rsidRPr="0060553B" w:rsidRDefault="006D357F" w:rsidP="0060553B">
            <w:pPr>
              <w:pStyle w:val="NormalWeb"/>
              <w:rPr>
                <w:rFonts w:ascii="Century Gothic" w:hAnsi="Century Gothic"/>
                <w:b/>
                <w:bCs/>
                <w:sz w:val="22"/>
                <w:szCs w:val="22"/>
              </w:rPr>
            </w:pPr>
            <w:r w:rsidRPr="0060553B">
              <w:rPr>
                <w:rFonts w:ascii="Century Gothic" w:hAnsi="Century Gothic"/>
                <w:bCs/>
                <w:sz w:val="22"/>
                <w:szCs w:val="22"/>
              </w:rPr>
              <w:t>Insulation upgrade</w:t>
            </w:r>
          </w:p>
        </w:tc>
        <w:tc>
          <w:tcPr>
            <w:tcW w:w="4675" w:type="dxa"/>
            <w:shd w:val="clear" w:color="auto" w:fill="D9DFEF"/>
          </w:tcPr>
          <w:p w:rsidR="006D357F" w:rsidRPr="0060553B" w:rsidRDefault="006D357F" w:rsidP="0060553B">
            <w:pPr>
              <w:pStyle w:val="NormalWeb"/>
              <w:rPr>
                <w:rFonts w:ascii="Century Gothic" w:hAnsi="Century Gothic"/>
                <w:sz w:val="22"/>
                <w:szCs w:val="22"/>
              </w:rPr>
            </w:pPr>
          </w:p>
        </w:tc>
      </w:tr>
    </w:tbl>
    <w:p w:rsidR="006D357F" w:rsidRDefault="006D357F" w:rsidP="006D357F">
      <w:pPr>
        <w:rPr>
          <w:rFonts w:ascii="Century Gothic" w:hAnsi="Century Gothic"/>
          <w:b/>
          <w:sz w:val="20"/>
          <w:szCs w:val="20"/>
        </w:rPr>
      </w:pPr>
    </w:p>
    <w:p w:rsidR="006D357F" w:rsidRPr="006D357F" w:rsidRDefault="006D357F" w:rsidP="006D357F">
      <w:pPr>
        <w:rPr>
          <w:rFonts w:ascii="Century Gothic" w:hAnsi="Century Gothic"/>
          <w:b/>
          <w:sz w:val="28"/>
          <w:szCs w:val="28"/>
        </w:rPr>
      </w:pPr>
      <w:r>
        <w:rPr>
          <w:rFonts w:ascii="Century Gothic" w:hAnsi="Century Gothic"/>
          <w:b/>
          <w:sz w:val="28"/>
          <w:szCs w:val="28"/>
        </w:rPr>
        <w:t>A P</w:t>
      </w:r>
      <w:r w:rsidRPr="006D357F">
        <w:rPr>
          <w:rFonts w:ascii="Century Gothic" w:hAnsi="Century Gothic"/>
          <w:b/>
          <w:sz w:val="28"/>
          <w:szCs w:val="28"/>
        </w:rPr>
        <w:t xml:space="preserve">ulse on </w:t>
      </w:r>
      <w:r>
        <w:rPr>
          <w:rFonts w:ascii="Century Gothic" w:hAnsi="Century Gothic"/>
          <w:b/>
          <w:sz w:val="28"/>
          <w:szCs w:val="28"/>
        </w:rPr>
        <w:t>Consumer S</w:t>
      </w:r>
      <w:r w:rsidRPr="006D357F">
        <w:rPr>
          <w:rFonts w:ascii="Century Gothic" w:hAnsi="Century Gothic"/>
          <w:b/>
          <w:sz w:val="28"/>
          <w:szCs w:val="28"/>
        </w:rPr>
        <w:t>entiment</w:t>
      </w:r>
    </w:p>
    <w:p w:rsidR="006D357F" w:rsidRDefault="006D357F" w:rsidP="006D357F">
      <w:pPr>
        <w:rPr>
          <w:rFonts w:ascii="Century Gothic" w:hAnsi="Century Gothic"/>
        </w:rPr>
      </w:pPr>
      <w:r w:rsidRPr="00F675E1">
        <w:rPr>
          <w:rFonts w:ascii="Century Gothic" w:hAnsi="Century Gothic"/>
        </w:rPr>
        <w:t xml:space="preserve">The </w:t>
      </w:r>
      <w:r w:rsidRPr="00B623CD">
        <w:rPr>
          <w:rFonts w:ascii="Century Gothic" w:hAnsi="Century Gothic"/>
          <w:i/>
        </w:rPr>
        <w:t>Housing Opportunities and Market Experience (HOME)</w:t>
      </w:r>
      <w:r w:rsidRPr="00F675E1">
        <w:rPr>
          <w:rFonts w:ascii="Century Gothic" w:hAnsi="Century Gothic"/>
        </w:rPr>
        <w:t xml:space="preserve"> report </w:t>
      </w:r>
      <w:r>
        <w:rPr>
          <w:rFonts w:ascii="Century Gothic" w:hAnsi="Century Gothic"/>
        </w:rPr>
        <w:t>(</w:t>
      </w:r>
      <w:hyperlink r:id="rId15" w:history="1">
        <w:r w:rsidRPr="00B71299">
          <w:rPr>
            <w:rStyle w:val="Hyperlink"/>
            <w:rFonts w:ascii="Century Gothic" w:hAnsi="Century Gothic"/>
          </w:rPr>
          <w:t>http://bit.ly/2gI433d</w:t>
        </w:r>
      </w:hyperlink>
      <w:r>
        <w:rPr>
          <w:rFonts w:ascii="Century Gothic" w:hAnsi="Century Gothic"/>
        </w:rPr>
        <w:t xml:space="preserve">)  </w:t>
      </w:r>
      <w:r w:rsidRPr="00F675E1">
        <w:rPr>
          <w:rFonts w:ascii="Century Gothic" w:hAnsi="Century Gothic"/>
        </w:rPr>
        <w:t xml:space="preserve"> monitor</w:t>
      </w:r>
      <w:r>
        <w:rPr>
          <w:rFonts w:ascii="Century Gothic" w:hAnsi="Century Gothic"/>
        </w:rPr>
        <w:t>s</w:t>
      </w:r>
      <w:r w:rsidRPr="00F675E1">
        <w:rPr>
          <w:rFonts w:ascii="Century Gothic" w:hAnsi="Century Gothic"/>
        </w:rPr>
        <w:t xml:space="preserve"> consumer sentiment about the housing market</w:t>
      </w:r>
      <w:r>
        <w:rPr>
          <w:rFonts w:ascii="Century Gothic" w:hAnsi="Century Gothic"/>
        </w:rPr>
        <w:t xml:space="preserve"> on a quarterly basis. </w:t>
      </w:r>
    </w:p>
    <w:p w:rsidR="006D357F" w:rsidRPr="00F675E1" w:rsidRDefault="00906362" w:rsidP="006D357F">
      <w:pPr>
        <w:rPr>
          <w:rFonts w:ascii="Century Gothic" w:hAnsi="Century Gothic"/>
        </w:rPr>
      </w:pPr>
      <w:r w:rsidRPr="006D357F">
        <w:rPr>
          <w:rFonts w:ascii="Century Gothic" w:hAnsi="Century Gothic"/>
          <w:noProof/>
        </w:rPr>
        <w:drawing>
          <wp:inline distT="0" distB="0" distL="0" distR="0">
            <wp:extent cx="5501640" cy="3215640"/>
            <wp:effectExtent l="0" t="0" r="0" b="0"/>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357F" w:rsidRPr="00FF48B2" w:rsidRDefault="006D357F" w:rsidP="006D357F">
      <w:pPr>
        <w:jc w:val="center"/>
        <w:rPr>
          <w:rFonts w:ascii="Century Gothic" w:hAnsi="Century Gothic"/>
          <w:b/>
          <w:sz w:val="28"/>
          <w:szCs w:val="28"/>
        </w:rPr>
      </w:pPr>
      <w:r w:rsidRPr="00FF48B2">
        <w:rPr>
          <w:rFonts w:ascii="Century Gothic" w:hAnsi="Century Gothic"/>
          <w:b/>
          <w:sz w:val="28"/>
          <w:szCs w:val="28"/>
        </w:rPr>
        <w:lastRenderedPageBreak/>
        <w:t>Good Time to Buy a Home</w:t>
      </w:r>
    </w:p>
    <w:tbl>
      <w:tblPr>
        <w:tblW w:w="0" w:type="auto"/>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Look w:val="04A0" w:firstRow="1" w:lastRow="0" w:firstColumn="1" w:lastColumn="0" w:noHBand="0" w:noVBand="1"/>
      </w:tblPr>
      <w:tblGrid>
        <w:gridCol w:w="1558"/>
        <w:gridCol w:w="1558"/>
        <w:gridCol w:w="1558"/>
        <w:gridCol w:w="1558"/>
        <w:gridCol w:w="1559"/>
        <w:gridCol w:w="1559"/>
      </w:tblGrid>
      <w:tr w:rsidR="006D357F" w:rsidRPr="00F675E1" w:rsidTr="0060553B">
        <w:tc>
          <w:tcPr>
            <w:tcW w:w="1558" w:type="dxa"/>
            <w:tcBorders>
              <w:top w:val="single" w:sz="4" w:space="0" w:color="297FD5"/>
              <w:left w:val="single" w:sz="4" w:space="0" w:color="297FD5"/>
              <w:bottom w:val="single" w:sz="4" w:space="0" w:color="297FD5"/>
              <w:right w:val="nil"/>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Age</w:t>
            </w:r>
          </w:p>
        </w:tc>
        <w:tc>
          <w:tcPr>
            <w:tcW w:w="1558" w:type="dxa"/>
            <w:tcBorders>
              <w:top w:val="single" w:sz="4" w:space="0" w:color="297FD5"/>
              <w:left w:val="nil"/>
              <w:bottom w:val="single" w:sz="4" w:space="0" w:color="297FD5"/>
              <w:right w:val="nil"/>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34 or under</w:t>
            </w:r>
          </w:p>
        </w:tc>
        <w:tc>
          <w:tcPr>
            <w:tcW w:w="1558" w:type="dxa"/>
            <w:tcBorders>
              <w:top w:val="single" w:sz="4" w:space="0" w:color="297FD5"/>
              <w:left w:val="nil"/>
              <w:bottom w:val="single" w:sz="4" w:space="0" w:color="297FD5"/>
              <w:right w:val="nil"/>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35 to 44</w:t>
            </w:r>
          </w:p>
        </w:tc>
        <w:tc>
          <w:tcPr>
            <w:tcW w:w="1558" w:type="dxa"/>
            <w:tcBorders>
              <w:top w:val="single" w:sz="4" w:space="0" w:color="297FD5"/>
              <w:left w:val="nil"/>
              <w:bottom w:val="single" w:sz="4" w:space="0" w:color="297FD5"/>
              <w:right w:val="nil"/>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45 to 54</w:t>
            </w:r>
          </w:p>
        </w:tc>
        <w:tc>
          <w:tcPr>
            <w:tcW w:w="1559" w:type="dxa"/>
            <w:tcBorders>
              <w:top w:val="single" w:sz="4" w:space="0" w:color="297FD5"/>
              <w:left w:val="nil"/>
              <w:bottom w:val="single" w:sz="4" w:space="0" w:color="297FD5"/>
              <w:right w:val="nil"/>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55 to 64</w:t>
            </w:r>
          </w:p>
        </w:tc>
        <w:tc>
          <w:tcPr>
            <w:tcW w:w="1559" w:type="dxa"/>
            <w:tcBorders>
              <w:top w:val="single" w:sz="4" w:space="0" w:color="297FD5"/>
              <w:left w:val="nil"/>
              <w:bottom w:val="single" w:sz="4" w:space="0" w:color="297FD5"/>
              <w:right w:val="single" w:sz="4" w:space="0" w:color="297FD5"/>
            </w:tcBorders>
            <w:shd w:val="clear" w:color="auto" w:fill="297FD5"/>
          </w:tcPr>
          <w:p w:rsidR="006D357F" w:rsidRPr="0060553B" w:rsidRDefault="006D357F" w:rsidP="0060553B">
            <w:pPr>
              <w:rPr>
                <w:rFonts w:ascii="Century Gothic" w:hAnsi="Century Gothic"/>
                <w:b/>
                <w:bCs/>
                <w:color w:val="FFFFFF"/>
              </w:rPr>
            </w:pPr>
            <w:r w:rsidRPr="0060553B">
              <w:rPr>
                <w:rFonts w:ascii="Century Gothic" w:hAnsi="Century Gothic"/>
                <w:b/>
                <w:bCs/>
                <w:color w:val="FFFFFF"/>
              </w:rPr>
              <w:t>65 or over</w:t>
            </w:r>
          </w:p>
        </w:tc>
      </w:tr>
      <w:tr w:rsidR="006D357F" w:rsidRPr="00F675E1" w:rsidTr="0060553B">
        <w:tc>
          <w:tcPr>
            <w:tcW w:w="1558" w:type="dxa"/>
            <w:shd w:val="clear" w:color="auto" w:fill="D3E5F6"/>
          </w:tcPr>
          <w:p w:rsidR="006D357F" w:rsidRPr="0060553B" w:rsidRDefault="006D357F" w:rsidP="0060553B">
            <w:pPr>
              <w:rPr>
                <w:rFonts w:ascii="Century Gothic" w:hAnsi="Century Gothic"/>
                <w:b/>
                <w:bCs/>
              </w:rPr>
            </w:pPr>
            <w:r w:rsidRPr="0060553B">
              <w:rPr>
                <w:rFonts w:ascii="Century Gothic" w:hAnsi="Century Gothic"/>
                <w:b/>
                <w:bCs/>
              </w:rPr>
              <w:t>A good time</w:t>
            </w:r>
          </w:p>
        </w:tc>
        <w:tc>
          <w:tcPr>
            <w:tcW w:w="1558" w:type="dxa"/>
            <w:shd w:val="clear" w:color="auto" w:fill="D3E5F6"/>
          </w:tcPr>
          <w:p w:rsidR="006D357F" w:rsidRPr="0060553B" w:rsidRDefault="006D357F" w:rsidP="0060553B">
            <w:pPr>
              <w:rPr>
                <w:rFonts w:ascii="Century Gothic" w:hAnsi="Century Gothic"/>
              </w:rPr>
            </w:pPr>
            <w:r w:rsidRPr="0060553B">
              <w:rPr>
                <w:rFonts w:ascii="Century Gothic" w:hAnsi="Century Gothic"/>
              </w:rPr>
              <w:t>62%</w:t>
            </w:r>
          </w:p>
        </w:tc>
        <w:tc>
          <w:tcPr>
            <w:tcW w:w="1558" w:type="dxa"/>
            <w:shd w:val="clear" w:color="auto" w:fill="D3E5F6"/>
          </w:tcPr>
          <w:p w:rsidR="006D357F" w:rsidRPr="0060553B" w:rsidRDefault="006D357F" w:rsidP="0060553B">
            <w:pPr>
              <w:rPr>
                <w:rFonts w:ascii="Century Gothic" w:hAnsi="Century Gothic"/>
              </w:rPr>
            </w:pPr>
            <w:r w:rsidRPr="0060553B">
              <w:rPr>
                <w:rFonts w:ascii="Century Gothic" w:hAnsi="Century Gothic"/>
              </w:rPr>
              <w:t>73%</w:t>
            </w:r>
          </w:p>
        </w:tc>
        <w:tc>
          <w:tcPr>
            <w:tcW w:w="1558" w:type="dxa"/>
            <w:shd w:val="clear" w:color="auto" w:fill="D3E5F6"/>
          </w:tcPr>
          <w:p w:rsidR="006D357F" w:rsidRPr="0060553B" w:rsidRDefault="006D357F" w:rsidP="0060553B">
            <w:pPr>
              <w:rPr>
                <w:rFonts w:ascii="Century Gothic" w:hAnsi="Century Gothic"/>
              </w:rPr>
            </w:pPr>
            <w:r w:rsidRPr="0060553B">
              <w:rPr>
                <w:rFonts w:ascii="Century Gothic" w:hAnsi="Century Gothic"/>
              </w:rPr>
              <w:t>75%</w:t>
            </w:r>
          </w:p>
        </w:tc>
        <w:tc>
          <w:tcPr>
            <w:tcW w:w="1559" w:type="dxa"/>
            <w:shd w:val="clear" w:color="auto" w:fill="D3E5F6"/>
          </w:tcPr>
          <w:p w:rsidR="006D357F" w:rsidRPr="0060553B" w:rsidRDefault="006D357F" w:rsidP="0060553B">
            <w:pPr>
              <w:rPr>
                <w:rFonts w:ascii="Century Gothic" w:hAnsi="Century Gothic"/>
              </w:rPr>
            </w:pPr>
            <w:r w:rsidRPr="0060553B">
              <w:rPr>
                <w:rFonts w:ascii="Century Gothic" w:hAnsi="Century Gothic"/>
              </w:rPr>
              <w:t>81%</w:t>
            </w:r>
          </w:p>
        </w:tc>
        <w:tc>
          <w:tcPr>
            <w:tcW w:w="1559" w:type="dxa"/>
            <w:shd w:val="clear" w:color="auto" w:fill="D3E5F6"/>
          </w:tcPr>
          <w:p w:rsidR="006D357F" w:rsidRPr="0060553B" w:rsidRDefault="006D357F" w:rsidP="0060553B">
            <w:pPr>
              <w:rPr>
                <w:rFonts w:ascii="Century Gothic" w:hAnsi="Century Gothic"/>
              </w:rPr>
            </w:pPr>
            <w:r w:rsidRPr="0060553B">
              <w:rPr>
                <w:rFonts w:ascii="Century Gothic" w:hAnsi="Century Gothic"/>
              </w:rPr>
              <w:t>81%</w:t>
            </w:r>
          </w:p>
        </w:tc>
      </w:tr>
      <w:tr w:rsidR="006D357F" w:rsidRPr="00F675E1" w:rsidTr="0060553B">
        <w:tc>
          <w:tcPr>
            <w:tcW w:w="1558" w:type="dxa"/>
            <w:shd w:val="clear" w:color="auto" w:fill="auto"/>
          </w:tcPr>
          <w:p w:rsidR="006D357F" w:rsidRPr="0060553B" w:rsidRDefault="006D357F" w:rsidP="0060553B">
            <w:pPr>
              <w:rPr>
                <w:rFonts w:ascii="Century Gothic" w:hAnsi="Century Gothic"/>
                <w:b/>
                <w:bCs/>
              </w:rPr>
            </w:pPr>
            <w:r w:rsidRPr="0060553B">
              <w:rPr>
                <w:rFonts w:ascii="Century Gothic" w:hAnsi="Century Gothic"/>
                <w:b/>
                <w:bCs/>
              </w:rPr>
              <w:t>Not a good time</w:t>
            </w:r>
          </w:p>
        </w:tc>
        <w:tc>
          <w:tcPr>
            <w:tcW w:w="1558" w:type="dxa"/>
            <w:shd w:val="clear" w:color="auto" w:fill="auto"/>
          </w:tcPr>
          <w:p w:rsidR="006D357F" w:rsidRPr="0060553B" w:rsidRDefault="006D357F" w:rsidP="0060553B">
            <w:pPr>
              <w:rPr>
                <w:rFonts w:ascii="Century Gothic" w:hAnsi="Century Gothic"/>
              </w:rPr>
            </w:pPr>
            <w:r w:rsidRPr="0060553B">
              <w:rPr>
                <w:rFonts w:ascii="Century Gothic" w:hAnsi="Century Gothic"/>
              </w:rPr>
              <w:t>38%</w:t>
            </w:r>
          </w:p>
        </w:tc>
        <w:tc>
          <w:tcPr>
            <w:tcW w:w="1558" w:type="dxa"/>
            <w:shd w:val="clear" w:color="auto" w:fill="auto"/>
          </w:tcPr>
          <w:p w:rsidR="006D357F" w:rsidRPr="0060553B" w:rsidRDefault="006D357F" w:rsidP="0060553B">
            <w:pPr>
              <w:rPr>
                <w:rFonts w:ascii="Century Gothic" w:hAnsi="Century Gothic"/>
              </w:rPr>
            </w:pPr>
            <w:r w:rsidRPr="0060553B">
              <w:rPr>
                <w:rFonts w:ascii="Century Gothic" w:hAnsi="Century Gothic"/>
              </w:rPr>
              <w:t>28%</w:t>
            </w:r>
          </w:p>
        </w:tc>
        <w:tc>
          <w:tcPr>
            <w:tcW w:w="1558" w:type="dxa"/>
            <w:shd w:val="clear" w:color="auto" w:fill="auto"/>
          </w:tcPr>
          <w:p w:rsidR="006D357F" w:rsidRPr="0060553B" w:rsidRDefault="006D357F" w:rsidP="0060553B">
            <w:pPr>
              <w:rPr>
                <w:rFonts w:ascii="Century Gothic" w:hAnsi="Century Gothic"/>
              </w:rPr>
            </w:pPr>
            <w:r w:rsidRPr="0060553B">
              <w:rPr>
                <w:rFonts w:ascii="Century Gothic" w:hAnsi="Century Gothic"/>
              </w:rPr>
              <w:t>25%</w:t>
            </w:r>
          </w:p>
        </w:tc>
        <w:tc>
          <w:tcPr>
            <w:tcW w:w="1559" w:type="dxa"/>
            <w:shd w:val="clear" w:color="auto" w:fill="auto"/>
          </w:tcPr>
          <w:p w:rsidR="006D357F" w:rsidRPr="0060553B" w:rsidRDefault="006D357F" w:rsidP="0060553B">
            <w:pPr>
              <w:rPr>
                <w:rFonts w:ascii="Century Gothic" w:hAnsi="Century Gothic"/>
              </w:rPr>
            </w:pPr>
            <w:r w:rsidRPr="0060553B">
              <w:rPr>
                <w:rFonts w:ascii="Century Gothic" w:hAnsi="Century Gothic"/>
              </w:rPr>
              <w:t>19%</w:t>
            </w:r>
          </w:p>
        </w:tc>
        <w:tc>
          <w:tcPr>
            <w:tcW w:w="1559" w:type="dxa"/>
            <w:shd w:val="clear" w:color="auto" w:fill="auto"/>
          </w:tcPr>
          <w:p w:rsidR="006D357F" w:rsidRPr="0060553B" w:rsidRDefault="006D357F" w:rsidP="0060553B">
            <w:pPr>
              <w:rPr>
                <w:rFonts w:ascii="Century Gothic" w:hAnsi="Century Gothic"/>
              </w:rPr>
            </w:pPr>
            <w:r w:rsidRPr="0060553B">
              <w:rPr>
                <w:rFonts w:ascii="Century Gothic" w:hAnsi="Century Gothic"/>
              </w:rPr>
              <w:t>19%</w:t>
            </w:r>
          </w:p>
        </w:tc>
      </w:tr>
    </w:tbl>
    <w:p w:rsidR="006D357F" w:rsidRPr="00F4586D" w:rsidRDefault="006D357F" w:rsidP="003B5160">
      <w:pPr>
        <w:rPr>
          <w:rFonts w:ascii="Century Gothic" w:eastAsia="Times New Roman" w:hAnsi="Century Gothic" w:cs="Arial"/>
          <w:sz w:val="28"/>
          <w:szCs w:val="28"/>
        </w:rPr>
      </w:pPr>
    </w:p>
    <w:p w:rsidR="00E733D3" w:rsidRPr="00E733D3" w:rsidRDefault="00E733D3" w:rsidP="00095608">
      <w:pPr>
        <w:rPr>
          <w:rFonts w:ascii="Century Gothic" w:hAnsi="Century Gothic"/>
          <w:b/>
        </w:rPr>
        <w:sectPr w:rsidR="00E733D3" w:rsidRPr="00E733D3" w:rsidSect="00450982">
          <w:type w:val="continuous"/>
          <w:pgSz w:w="12240" w:h="15840"/>
          <w:pgMar w:top="1440" w:right="1440" w:bottom="1440" w:left="1440" w:header="720" w:footer="720" w:gutter="0"/>
          <w:cols w:space="720"/>
          <w:docGrid w:linePitch="360"/>
        </w:sectPr>
      </w:pPr>
    </w:p>
    <w:tbl>
      <w:tblPr>
        <w:tblpPr w:leftFromText="180" w:rightFromText="180" w:vertAnchor="text" w:horzAnchor="margin" w:tblpXSpec="center" w:tblpY="162"/>
        <w:tblW w:w="9654" w:type="dxa"/>
        <w:tblLayout w:type="fixed"/>
        <w:tblLook w:val="04A0" w:firstRow="1" w:lastRow="0" w:firstColumn="1" w:lastColumn="0" w:noHBand="0" w:noVBand="1"/>
      </w:tblPr>
      <w:tblGrid>
        <w:gridCol w:w="18"/>
        <w:gridCol w:w="4809"/>
        <w:gridCol w:w="4827"/>
      </w:tblGrid>
      <w:tr w:rsidR="00E733D3" w:rsidRPr="00D877D1" w:rsidTr="00235DA4">
        <w:trPr>
          <w:gridBefore w:val="1"/>
          <w:wBefore w:w="18" w:type="dxa"/>
          <w:trHeight w:val="1934"/>
        </w:trPr>
        <w:tc>
          <w:tcPr>
            <w:tcW w:w="4809" w:type="dxa"/>
            <w:shd w:val="clear" w:color="auto" w:fill="auto"/>
          </w:tcPr>
          <w:p w:rsidR="00E733D3" w:rsidRPr="00D877D1" w:rsidRDefault="00E733D3" w:rsidP="00235DA4">
            <w:pPr>
              <w:pStyle w:val="Heading6"/>
              <w:spacing w:line="240" w:lineRule="auto"/>
              <w:rPr>
                <w:rFonts w:ascii="Arial" w:hAnsi="Arial" w:cs="Arial"/>
                <w:b/>
                <w:bCs/>
                <w:i w:val="0"/>
                <w:color w:val="auto"/>
              </w:rPr>
            </w:pPr>
            <w:r w:rsidRPr="00D877D1">
              <w:rPr>
                <w:rFonts w:ascii="Arial" w:hAnsi="Arial" w:cs="Arial"/>
                <w:b/>
                <w:bCs/>
                <w:i w:val="0"/>
                <w:color w:val="auto"/>
              </w:rPr>
              <w:t>Real Estate Matters: News &amp; Issues for the Mature Market</w:t>
            </w:r>
          </w:p>
          <w:p w:rsidR="00E733D3" w:rsidRPr="00D877D1" w:rsidRDefault="00E733D3" w:rsidP="00235DA4">
            <w:pPr>
              <w:overflowPunct w:val="0"/>
              <w:autoSpaceDE w:val="0"/>
              <w:autoSpaceDN w:val="0"/>
              <w:adjustRightInd w:val="0"/>
              <w:spacing w:after="0" w:line="240" w:lineRule="auto"/>
              <w:rPr>
                <w:rFonts w:ascii="Arial" w:hAnsi="Arial" w:cs="Arial"/>
                <w:b/>
              </w:rPr>
            </w:pPr>
            <w:r w:rsidRPr="00D877D1">
              <w:rPr>
                <w:rFonts w:ascii="Arial" w:hAnsi="Arial" w:cs="Arial"/>
                <w:b/>
              </w:rPr>
              <w:t>(Company)</w:t>
            </w:r>
          </w:p>
          <w:p w:rsidR="00E733D3" w:rsidRPr="00D877D1" w:rsidRDefault="00E733D3" w:rsidP="00235DA4">
            <w:pPr>
              <w:overflowPunct w:val="0"/>
              <w:autoSpaceDE w:val="0"/>
              <w:autoSpaceDN w:val="0"/>
              <w:adjustRightInd w:val="0"/>
              <w:spacing w:after="0" w:line="240" w:lineRule="auto"/>
              <w:rPr>
                <w:rFonts w:ascii="Arial" w:hAnsi="Arial" w:cs="Arial"/>
                <w:b/>
              </w:rPr>
            </w:pPr>
            <w:r w:rsidRPr="00D877D1">
              <w:rPr>
                <w:rFonts w:ascii="Arial" w:hAnsi="Arial" w:cs="Arial"/>
                <w:b/>
              </w:rPr>
              <w:t>(Address)</w:t>
            </w:r>
          </w:p>
          <w:p w:rsidR="00E733D3" w:rsidRPr="00D877D1" w:rsidRDefault="00E733D3" w:rsidP="00235DA4">
            <w:pPr>
              <w:overflowPunct w:val="0"/>
              <w:autoSpaceDE w:val="0"/>
              <w:autoSpaceDN w:val="0"/>
              <w:adjustRightInd w:val="0"/>
              <w:spacing w:after="0" w:line="240" w:lineRule="auto"/>
              <w:rPr>
                <w:rFonts w:ascii="Arial" w:hAnsi="Arial" w:cs="Arial"/>
                <w:b/>
              </w:rPr>
            </w:pPr>
            <w:r w:rsidRPr="00D877D1">
              <w:rPr>
                <w:rFonts w:ascii="Arial" w:hAnsi="Arial" w:cs="Arial"/>
                <w:b/>
              </w:rPr>
              <w:t xml:space="preserve">(City, State, Zip) </w:t>
            </w:r>
          </w:p>
          <w:p w:rsidR="00E733D3" w:rsidRPr="00D877D1" w:rsidRDefault="00E733D3" w:rsidP="00235DA4">
            <w:pPr>
              <w:overflowPunct w:val="0"/>
              <w:autoSpaceDE w:val="0"/>
              <w:autoSpaceDN w:val="0"/>
              <w:adjustRightInd w:val="0"/>
              <w:spacing w:after="0" w:line="240" w:lineRule="auto"/>
              <w:rPr>
                <w:rFonts w:ascii="Arial" w:hAnsi="Arial" w:cs="Arial"/>
                <w:b/>
              </w:rPr>
            </w:pPr>
            <w:r w:rsidRPr="00D877D1">
              <w:rPr>
                <w:rFonts w:ascii="Arial" w:hAnsi="Arial" w:cs="Arial"/>
                <w:b/>
              </w:rPr>
              <w:t>(Agent Name and Designations)</w:t>
            </w:r>
          </w:p>
          <w:p w:rsidR="00E733D3" w:rsidRPr="00D877D1" w:rsidRDefault="00E733D3" w:rsidP="00235DA4">
            <w:pPr>
              <w:overflowPunct w:val="0"/>
              <w:autoSpaceDE w:val="0"/>
              <w:autoSpaceDN w:val="0"/>
              <w:adjustRightInd w:val="0"/>
              <w:spacing w:after="0" w:line="240" w:lineRule="auto"/>
            </w:pPr>
          </w:p>
        </w:tc>
        <w:tc>
          <w:tcPr>
            <w:tcW w:w="4827" w:type="dxa"/>
            <w:shd w:val="clear" w:color="auto" w:fill="auto"/>
            <w:vAlign w:val="bottom"/>
          </w:tcPr>
          <w:p w:rsidR="00E733D3" w:rsidRPr="00D877D1" w:rsidRDefault="00906362" w:rsidP="00235DA4">
            <w:pPr>
              <w:tabs>
                <w:tab w:val="left" w:pos="3396"/>
              </w:tabs>
              <w:spacing w:after="0" w:line="240" w:lineRule="auto"/>
              <w:jc w:val="right"/>
            </w:pPr>
            <w:r w:rsidRPr="000115BD">
              <w:rPr>
                <w:noProof/>
              </w:rPr>
              <w:drawing>
                <wp:inline distT="0" distB="0" distL="0" distR="0">
                  <wp:extent cx="1714500" cy="647700"/>
                  <wp:effectExtent l="0" t="0" r="0" b="0"/>
                  <wp:docPr id="6" name="Picture 2" descr="Description: SRES_s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ES_sres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r w:rsidR="00E733D3" w:rsidRPr="00D877D1" w:rsidTr="00235DA4">
        <w:trPr>
          <w:trHeight w:val="1445"/>
        </w:trPr>
        <w:tc>
          <w:tcPr>
            <w:tcW w:w="9654" w:type="dxa"/>
            <w:gridSpan w:val="3"/>
            <w:shd w:val="clear" w:color="auto" w:fill="D9D9D9"/>
          </w:tcPr>
          <w:p w:rsidR="00E733D3" w:rsidRPr="00D877D1" w:rsidRDefault="00906362" w:rsidP="00235DA4">
            <w:pPr>
              <w:spacing w:after="0" w:line="240" w:lineRule="auto"/>
              <w:jc w:val="center"/>
            </w:pPr>
            <w:r w:rsidRPr="000115BD">
              <w:rPr>
                <w:noProof/>
              </w:rPr>
              <w:drawing>
                <wp:inline distT="0" distB="0" distL="0" distR="0">
                  <wp:extent cx="5227320" cy="944880"/>
                  <wp:effectExtent l="0" t="0" r="0" b="0"/>
                  <wp:docPr id="7" name="Picture 1" descr="Description: SRE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ES_foo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7320" cy="944880"/>
                          </a:xfrm>
                          <a:prstGeom prst="rect">
                            <a:avLst/>
                          </a:prstGeom>
                          <a:noFill/>
                          <a:ln>
                            <a:noFill/>
                          </a:ln>
                        </pic:spPr>
                      </pic:pic>
                    </a:graphicData>
                  </a:graphic>
                </wp:inline>
              </w:drawing>
            </w:r>
          </w:p>
        </w:tc>
      </w:tr>
    </w:tbl>
    <w:p w:rsidR="007F580A" w:rsidRPr="00C355C4" w:rsidRDefault="007F580A" w:rsidP="00E733D3">
      <w:pPr>
        <w:rPr>
          <w:rFonts w:ascii="Century Gothic" w:hAnsi="Century Gothic"/>
        </w:rPr>
      </w:pPr>
    </w:p>
    <w:sectPr w:rsidR="007F580A" w:rsidRPr="00C355C4" w:rsidSect="00E733D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695" w:rsidRDefault="00075695" w:rsidP="00334FA1">
      <w:pPr>
        <w:spacing w:after="0" w:line="240" w:lineRule="auto"/>
      </w:pPr>
      <w:r>
        <w:separator/>
      </w:r>
    </w:p>
  </w:endnote>
  <w:endnote w:type="continuationSeparator" w:id="0">
    <w:p w:rsidR="00075695" w:rsidRDefault="00075695" w:rsidP="0033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695" w:rsidRDefault="00075695" w:rsidP="00334FA1">
      <w:pPr>
        <w:spacing w:after="0" w:line="240" w:lineRule="auto"/>
      </w:pPr>
      <w:r>
        <w:separator/>
      </w:r>
    </w:p>
  </w:footnote>
  <w:footnote w:type="continuationSeparator" w:id="0">
    <w:p w:rsidR="00075695" w:rsidRDefault="00075695" w:rsidP="0033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8E61387"/>
    <w:multiLevelType w:val="hybridMultilevel"/>
    <w:tmpl w:val="9E8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B2406"/>
    <w:multiLevelType w:val="hybridMultilevel"/>
    <w:tmpl w:val="6618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110"/>
    <w:multiLevelType w:val="hybridMultilevel"/>
    <w:tmpl w:val="DC9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D20CE"/>
    <w:multiLevelType w:val="hybridMultilevel"/>
    <w:tmpl w:val="811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B3FBE"/>
    <w:multiLevelType w:val="hybridMultilevel"/>
    <w:tmpl w:val="2654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732C2"/>
    <w:multiLevelType w:val="multilevel"/>
    <w:tmpl w:val="B6E85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73D4A"/>
    <w:multiLevelType w:val="multilevel"/>
    <w:tmpl w:val="FC72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D27E6"/>
    <w:multiLevelType w:val="hybridMultilevel"/>
    <w:tmpl w:val="9840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B24B8"/>
    <w:multiLevelType w:val="hybridMultilevel"/>
    <w:tmpl w:val="A4560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A102E"/>
    <w:multiLevelType w:val="hybridMultilevel"/>
    <w:tmpl w:val="D9DEB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613F30"/>
    <w:multiLevelType w:val="hybridMultilevel"/>
    <w:tmpl w:val="010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E2068"/>
    <w:multiLevelType w:val="hybridMultilevel"/>
    <w:tmpl w:val="F03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030CD"/>
    <w:multiLevelType w:val="hybridMultilevel"/>
    <w:tmpl w:val="CBC6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67EC8"/>
    <w:multiLevelType w:val="hybridMultilevel"/>
    <w:tmpl w:val="257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11"/>
  </w:num>
  <w:num w:numId="5">
    <w:abstractNumId w:val="5"/>
  </w:num>
  <w:num w:numId="6">
    <w:abstractNumId w:val="8"/>
  </w:num>
  <w:num w:numId="7">
    <w:abstractNumId w:val="9"/>
  </w:num>
  <w:num w:numId="8">
    <w:abstractNumId w:val="7"/>
  </w:num>
  <w:num w:numId="9">
    <w:abstractNumId w:val="10"/>
  </w:num>
  <w:num w:numId="10">
    <w:abstractNumId w:val="0"/>
  </w:num>
  <w:num w:numId="11">
    <w:abstractNumId w:val="4"/>
  </w:num>
  <w:num w:numId="12">
    <w:abstractNumId w:val="2"/>
  </w:num>
  <w:num w:numId="13">
    <w:abstractNumId w:val="1"/>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1"/>
    <w:rsid w:val="000136C4"/>
    <w:rsid w:val="00015E84"/>
    <w:rsid w:val="0003527D"/>
    <w:rsid w:val="00035DBA"/>
    <w:rsid w:val="0003784C"/>
    <w:rsid w:val="00063018"/>
    <w:rsid w:val="00066279"/>
    <w:rsid w:val="00075695"/>
    <w:rsid w:val="00082A31"/>
    <w:rsid w:val="000931E3"/>
    <w:rsid w:val="00094C15"/>
    <w:rsid w:val="00095608"/>
    <w:rsid w:val="000B0D79"/>
    <w:rsid w:val="000B60FC"/>
    <w:rsid w:val="000C1E69"/>
    <w:rsid w:val="000E6336"/>
    <w:rsid w:val="00101DAF"/>
    <w:rsid w:val="001078F5"/>
    <w:rsid w:val="00121FD0"/>
    <w:rsid w:val="00142212"/>
    <w:rsid w:val="001441CE"/>
    <w:rsid w:val="00147431"/>
    <w:rsid w:val="00154435"/>
    <w:rsid w:val="0016585D"/>
    <w:rsid w:val="00190170"/>
    <w:rsid w:val="001950DE"/>
    <w:rsid w:val="001977CA"/>
    <w:rsid w:val="001B47A2"/>
    <w:rsid w:val="001B5064"/>
    <w:rsid w:val="001C0A91"/>
    <w:rsid w:val="001D13CA"/>
    <w:rsid w:val="002008E3"/>
    <w:rsid w:val="002070B0"/>
    <w:rsid w:val="00211FBF"/>
    <w:rsid w:val="00223252"/>
    <w:rsid w:val="00235DA4"/>
    <w:rsid w:val="002405D1"/>
    <w:rsid w:val="00242CB5"/>
    <w:rsid w:val="002830C0"/>
    <w:rsid w:val="002916AD"/>
    <w:rsid w:val="002B09C1"/>
    <w:rsid w:val="002B63FE"/>
    <w:rsid w:val="002E488E"/>
    <w:rsid w:val="0030491A"/>
    <w:rsid w:val="00315BF5"/>
    <w:rsid w:val="00334FA1"/>
    <w:rsid w:val="003400B3"/>
    <w:rsid w:val="003A23AD"/>
    <w:rsid w:val="003B2747"/>
    <w:rsid w:val="003B5160"/>
    <w:rsid w:val="003B5A38"/>
    <w:rsid w:val="003E7D5A"/>
    <w:rsid w:val="0040315F"/>
    <w:rsid w:val="00421B35"/>
    <w:rsid w:val="004304AE"/>
    <w:rsid w:val="00433BAB"/>
    <w:rsid w:val="00433BE7"/>
    <w:rsid w:val="00442C81"/>
    <w:rsid w:val="00450982"/>
    <w:rsid w:val="0046512D"/>
    <w:rsid w:val="00474D79"/>
    <w:rsid w:val="004A15A7"/>
    <w:rsid w:val="004A3604"/>
    <w:rsid w:val="004B7C24"/>
    <w:rsid w:val="004C1841"/>
    <w:rsid w:val="004C4A55"/>
    <w:rsid w:val="004D3A53"/>
    <w:rsid w:val="004F5412"/>
    <w:rsid w:val="00514FF8"/>
    <w:rsid w:val="0051748D"/>
    <w:rsid w:val="00544892"/>
    <w:rsid w:val="00581EA1"/>
    <w:rsid w:val="00583380"/>
    <w:rsid w:val="00583CD1"/>
    <w:rsid w:val="005C6207"/>
    <w:rsid w:val="005D59CD"/>
    <w:rsid w:val="005E2D46"/>
    <w:rsid w:val="00601B4C"/>
    <w:rsid w:val="00602532"/>
    <w:rsid w:val="0060553B"/>
    <w:rsid w:val="00622416"/>
    <w:rsid w:val="0063032B"/>
    <w:rsid w:val="00634259"/>
    <w:rsid w:val="00634E7A"/>
    <w:rsid w:val="00665BA1"/>
    <w:rsid w:val="006755D2"/>
    <w:rsid w:val="0067636E"/>
    <w:rsid w:val="00682C21"/>
    <w:rsid w:val="006837E9"/>
    <w:rsid w:val="006919DE"/>
    <w:rsid w:val="00692A34"/>
    <w:rsid w:val="006A6A38"/>
    <w:rsid w:val="006B49A4"/>
    <w:rsid w:val="006B5F21"/>
    <w:rsid w:val="006C6D54"/>
    <w:rsid w:val="006D357F"/>
    <w:rsid w:val="00701A1F"/>
    <w:rsid w:val="00737409"/>
    <w:rsid w:val="00751E1E"/>
    <w:rsid w:val="007555AA"/>
    <w:rsid w:val="007651E7"/>
    <w:rsid w:val="007808D5"/>
    <w:rsid w:val="00783D86"/>
    <w:rsid w:val="00787DCD"/>
    <w:rsid w:val="00795ACC"/>
    <w:rsid w:val="007D0457"/>
    <w:rsid w:val="007F580A"/>
    <w:rsid w:val="007F7CEB"/>
    <w:rsid w:val="0080260D"/>
    <w:rsid w:val="00802C72"/>
    <w:rsid w:val="0080749F"/>
    <w:rsid w:val="008127E8"/>
    <w:rsid w:val="008156FE"/>
    <w:rsid w:val="0083791A"/>
    <w:rsid w:val="00850DE6"/>
    <w:rsid w:val="00855614"/>
    <w:rsid w:val="00857AAE"/>
    <w:rsid w:val="008629AC"/>
    <w:rsid w:val="00871021"/>
    <w:rsid w:val="008717CE"/>
    <w:rsid w:val="0087493C"/>
    <w:rsid w:val="00874B1C"/>
    <w:rsid w:val="008757DA"/>
    <w:rsid w:val="00876C3E"/>
    <w:rsid w:val="00884711"/>
    <w:rsid w:val="00896873"/>
    <w:rsid w:val="008A087C"/>
    <w:rsid w:val="008A30F0"/>
    <w:rsid w:val="008B1AEE"/>
    <w:rsid w:val="008B4872"/>
    <w:rsid w:val="008E4DED"/>
    <w:rsid w:val="00905EF4"/>
    <w:rsid w:val="00906362"/>
    <w:rsid w:val="009244C1"/>
    <w:rsid w:val="009468BD"/>
    <w:rsid w:val="00955C7B"/>
    <w:rsid w:val="009A60D7"/>
    <w:rsid w:val="009E04B3"/>
    <w:rsid w:val="00A67E71"/>
    <w:rsid w:val="00A834AE"/>
    <w:rsid w:val="00A91FE5"/>
    <w:rsid w:val="00AB2D43"/>
    <w:rsid w:val="00AC256D"/>
    <w:rsid w:val="00AC2FD3"/>
    <w:rsid w:val="00AC7DF2"/>
    <w:rsid w:val="00AD2881"/>
    <w:rsid w:val="00AD408C"/>
    <w:rsid w:val="00B12D73"/>
    <w:rsid w:val="00B44B32"/>
    <w:rsid w:val="00B64700"/>
    <w:rsid w:val="00B70A85"/>
    <w:rsid w:val="00B82A11"/>
    <w:rsid w:val="00BC2B65"/>
    <w:rsid w:val="00BE1C72"/>
    <w:rsid w:val="00BE1FB5"/>
    <w:rsid w:val="00C05732"/>
    <w:rsid w:val="00C07291"/>
    <w:rsid w:val="00C23888"/>
    <w:rsid w:val="00C355C4"/>
    <w:rsid w:val="00C43D1A"/>
    <w:rsid w:val="00C51EC4"/>
    <w:rsid w:val="00C6095B"/>
    <w:rsid w:val="00C6572D"/>
    <w:rsid w:val="00C7173D"/>
    <w:rsid w:val="00C73ADB"/>
    <w:rsid w:val="00C845AF"/>
    <w:rsid w:val="00C8558E"/>
    <w:rsid w:val="00C96C4E"/>
    <w:rsid w:val="00CC345D"/>
    <w:rsid w:val="00CE1436"/>
    <w:rsid w:val="00CF12DF"/>
    <w:rsid w:val="00D01E93"/>
    <w:rsid w:val="00D07F10"/>
    <w:rsid w:val="00D111D2"/>
    <w:rsid w:val="00D12D91"/>
    <w:rsid w:val="00D17653"/>
    <w:rsid w:val="00D4518A"/>
    <w:rsid w:val="00D57EE7"/>
    <w:rsid w:val="00D65968"/>
    <w:rsid w:val="00D81476"/>
    <w:rsid w:val="00DB020D"/>
    <w:rsid w:val="00DB0B58"/>
    <w:rsid w:val="00DC2582"/>
    <w:rsid w:val="00DD1F43"/>
    <w:rsid w:val="00E04BD8"/>
    <w:rsid w:val="00E1089E"/>
    <w:rsid w:val="00E52AD1"/>
    <w:rsid w:val="00E571B2"/>
    <w:rsid w:val="00E733D3"/>
    <w:rsid w:val="00E84D26"/>
    <w:rsid w:val="00E86711"/>
    <w:rsid w:val="00E96135"/>
    <w:rsid w:val="00EC10B5"/>
    <w:rsid w:val="00EE6485"/>
    <w:rsid w:val="00EF26B0"/>
    <w:rsid w:val="00F060F7"/>
    <w:rsid w:val="00F14CA5"/>
    <w:rsid w:val="00F17872"/>
    <w:rsid w:val="00F35135"/>
    <w:rsid w:val="00F4415D"/>
    <w:rsid w:val="00F4586D"/>
    <w:rsid w:val="00F501F7"/>
    <w:rsid w:val="00F5638B"/>
    <w:rsid w:val="00F574D9"/>
    <w:rsid w:val="00F64E0E"/>
    <w:rsid w:val="00F73627"/>
    <w:rsid w:val="00FC24CA"/>
    <w:rsid w:val="00FD4CCD"/>
    <w:rsid w:val="00FD7F74"/>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1411-C11A-4C48-9CC8-4A91D29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A1"/>
    <w:pPr>
      <w:spacing w:after="200" w:line="276" w:lineRule="auto"/>
    </w:pPr>
    <w:rPr>
      <w:sz w:val="22"/>
      <w:szCs w:val="22"/>
    </w:rPr>
  </w:style>
  <w:style w:type="paragraph" w:styleId="Heading1">
    <w:name w:val="heading 1"/>
    <w:basedOn w:val="Normal"/>
    <w:next w:val="Normal"/>
    <w:link w:val="Heading1Char"/>
    <w:uiPriority w:val="9"/>
    <w:qFormat/>
    <w:rsid w:val="00D111D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9E04B3"/>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14743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34FA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34FA1"/>
    <w:rPr>
      <w:rFonts w:ascii="Cambria" w:eastAsia="Times New Roman" w:hAnsi="Cambria" w:cs="Times New Roman"/>
      <w:i/>
      <w:iCs/>
      <w:color w:val="243F60"/>
    </w:rPr>
  </w:style>
  <w:style w:type="paragraph" w:styleId="ListParagraph">
    <w:name w:val="List Paragraph"/>
    <w:basedOn w:val="Normal"/>
    <w:uiPriority w:val="34"/>
    <w:qFormat/>
    <w:rsid w:val="00334FA1"/>
    <w:pPr>
      <w:spacing w:before="100" w:beforeAutospacing="1" w:after="100" w:afterAutospacing="1" w:line="240" w:lineRule="auto"/>
      <w:ind w:left="720"/>
      <w:contextualSpacing/>
    </w:pPr>
    <w:rPr>
      <w:rFonts w:ascii="Times New Roman" w:eastAsia="Times New Roman" w:hAnsi="Times New Roman"/>
    </w:rPr>
  </w:style>
  <w:style w:type="character" w:styleId="Emphasis">
    <w:name w:val="Emphasis"/>
    <w:uiPriority w:val="20"/>
    <w:qFormat/>
    <w:rsid w:val="00334FA1"/>
    <w:rPr>
      <w:i/>
      <w:iCs/>
    </w:rPr>
  </w:style>
  <w:style w:type="paragraph" w:styleId="FootnoteText">
    <w:name w:val="footnote text"/>
    <w:basedOn w:val="Normal"/>
    <w:link w:val="FootnoteTextChar"/>
    <w:uiPriority w:val="99"/>
    <w:semiHidden/>
    <w:unhideWhenUsed/>
    <w:rsid w:val="00334FA1"/>
    <w:rPr>
      <w:sz w:val="20"/>
      <w:szCs w:val="20"/>
    </w:rPr>
  </w:style>
  <w:style w:type="character" w:customStyle="1" w:styleId="FootnoteTextChar">
    <w:name w:val="Footnote Text Char"/>
    <w:link w:val="FootnoteText"/>
    <w:uiPriority w:val="99"/>
    <w:semiHidden/>
    <w:rsid w:val="00334FA1"/>
    <w:rPr>
      <w:rFonts w:ascii="Calibri" w:eastAsia="Calibri" w:hAnsi="Calibri" w:cs="Times New Roman"/>
      <w:sz w:val="20"/>
      <w:szCs w:val="20"/>
    </w:rPr>
  </w:style>
  <w:style w:type="character" w:styleId="FootnoteReference">
    <w:name w:val="footnote reference"/>
    <w:uiPriority w:val="99"/>
    <w:semiHidden/>
    <w:unhideWhenUsed/>
    <w:rsid w:val="00334FA1"/>
    <w:rPr>
      <w:vertAlign w:val="superscript"/>
    </w:rPr>
  </w:style>
  <w:style w:type="paragraph" w:styleId="BalloonText">
    <w:name w:val="Balloon Text"/>
    <w:basedOn w:val="Normal"/>
    <w:link w:val="BalloonTextChar"/>
    <w:uiPriority w:val="99"/>
    <w:semiHidden/>
    <w:unhideWhenUsed/>
    <w:rsid w:val="00334F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4FA1"/>
    <w:rPr>
      <w:rFonts w:ascii="Tahoma" w:eastAsia="Calibri" w:hAnsi="Tahoma" w:cs="Tahoma"/>
      <w:sz w:val="16"/>
      <w:szCs w:val="16"/>
    </w:rPr>
  </w:style>
  <w:style w:type="character" w:styleId="Hyperlink">
    <w:name w:val="Hyperlink"/>
    <w:uiPriority w:val="99"/>
    <w:rsid w:val="00334FA1"/>
    <w:rPr>
      <w:color w:val="0000FF"/>
      <w:u w:val="single"/>
    </w:rPr>
  </w:style>
  <w:style w:type="character" w:customStyle="1" w:styleId="st">
    <w:name w:val="st"/>
    <w:basedOn w:val="DefaultParagraphFont"/>
    <w:rsid w:val="00C355C4"/>
  </w:style>
  <w:style w:type="character" w:styleId="Strong">
    <w:name w:val="Strong"/>
    <w:uiPriority w:val="22"/>
    <w:qFormat/>
    <w:rsid w:val="001441CE"/>
    <w:rPr>
      <w:b/>
      <w:bCs/>
    </w:rPr>
  </w:style>
  <w:style w:type="paragraph" w:customStyle="1" w:styleId="DecimalAligned">
    <w:name w:val="Decimal Aligned"/>
    <w:basedOn w:val="Normal"/>
    <w:uiPriority w:val="40"/>
    <w:qFormat/>
    <w:rsid w:val="00242CB5"/>
    <w:pPr>
      <w:tabs>
        <w:tab w:val="decimal" w:pos="360"/>
      </w:tabs>
    </w:pPr>
    <w:rPr>
      <w:rFonts w:ascii="Times New Roman" w:eastAsia="Times New Roman" w:hAnsi="Times New Roman"/>
    </w:rPr>
  </w:style>
  <w:style w:type="table" w:styleId="LightList-Accent4">
    <w:name w:val="Light List Accent 4"/>
    <w:basedOn w:val="TableNormal"/>
    <w:uiPriority w:val="61"/>
    <w:rsid w:val="00242CB5"/>
    <w:pPr>
      <w:spacing w:beforeAutospacing="1" w:afterAutospacing="1"/>
      <w:ind w:left="720"/>
    </w:pPr>
    <w:rPr>
      <w:rFonts w:ascii="Times New Roman" w:eastAsia="Times New Roman" w:hAnsi="Times New Roman"/>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242CB5"/>
    <w:pPr>
      <w:spacing w:beforeAutospacing="1" w:afterAutospacing="1"/>
      <w:ind w:left="720"/>
    </w:pPr>
    <w:rPr>
      <w:rFonts w:ascii="Times New Roman" w:eastAsia="Times New Roman" w:hAnsi="Times New Roman"/>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F060F7"/>
    <w:rPr>
      <w:sz w:val="20"/>
      <w:szCs w:val="20"/>
    </w:rPr>
  </w:style>
  <w:style w:type="character" w:customStyle="1" w:styleId="EndnoteTextChar">
    <w:name w:val="Endnote Text Char"/>
    <w:basedOn w:val="DefaultParagraphFont"/>
    <w:link w:val="EndnoteText"/>
    <w:uiPriority w:val="99"/>
    <w:semiHidden/>
    <w:rsid w:val="00F060F7"/>
  </w:style>
  <w:style w:type="character" w:styleId="EndnoteReference">
    <w:name w:val="endnote reference"/>
    <w:uiPriority w:val="99"/>
    <w:semiHidden/>
    <w:unhideWhenUsed/>
    <w:rsid w:val="00F060F7"/>
    <w:rPr>
      <w:vertAlign w:val="superscript"/>
    </w:rPr>
  </w:style>
  <w:style w:type="paragraph" w:styleId="NormalWeb">
    <w:name w:val="Normal (Web)"/>
    <w:basedOn w:val="Normal"/>
    <w:uiPriority w:val="99"/>
    <w:unhideWhenUsed/>
    <w:rsid w:val="006B5F21"/>
    <w:pPr>
      <w:spacing w:before="100" w:beforeAutospacing="1" w:after="100" w:afterAutospacing="1" w:line="240" w:lineRule="auto"/>
    </w:pPr>
    <w:rPr>
      <w:rFonts w:ascii="Times New Roman" w:eastAsia="Times New Roman" w:hAnsi="Times New Roman"/>
      <w:sz w:val="24"/>
      <w:szCs w:val="24"/>
    </w:rPr>
  </w:style>
  <w:style w:type="character" w:customStyle="1" w:styleId="A9">
    <w:name w:val="A9"/>
    <w:uiPriority w:val="99"/>
    <w:rsid w:val="00066279"/>
    <w:rPr>
      <w:rFonts w:cs="Avenir 55 Roman"/>
      <w:b/>
      <w:bCs/>
      <w:color w:val="000000"/>
      <w:sz w:val="20"/>
      <w:szCs w:val="20"/>
    </w:rPr>
  </w:style>
  <w:style w:type="paragraph" w:customStyle="1" w:styleId="Default">
    <w:name w:val="Default"/>
    <w:rsid w:val="000C1E69"/>
    <w:pPr>
      <w:autoSpaceDE w:val="0"/>
      <w:autoSpaceDN w:val="0"/>
      <w:adjustRightInd w:val="0"/>
    </w:pPr>
    <w:rPr>
      <w:rFonts w:cs="Calibri"/>
      <w:color w:val="000000"/>
      <w:sz w:val="24"/>
      <w:szCs w:val="24"/>
    </w:rPr>
  </w:style>
  <w:style w:type="table" w:styleId="TableGrid">
    <w:name w:val="Table Grid"/>
    <w:basedOn w:val="TableNormal"/>
    <w:uiPriority w:val="39"/>
    <w:rsid w:val="001078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147431"/>
    <w:rPr>
      <w:rFonts w:ascii="Calibri" w:eastAsia="Times New Roman" w:hAnsi="Calibri" w:cs="Times New Roman"/>
      <w:b/>
      <w:bCs/>
      <w:i/>
      <w:iCs/>
      <w:sz w:val="26"/>
      <w:szCs w:val="26"/>
    </w:rPr>
  </w:style>
  <w:style w:type="character" w:customStyle="1" w:styleId="newsitem">
    <w:name w:val="newsitem"/>
    <w:rsid w:val="00E84D26"/>
  </w:style>
  <w:style w:type="character" w:styleId="FollowedHyperlink">
    <w:name w:val="FollowedHyperlink"/>
    <w:uiPriority w:val="99"/>
    <w:semiHidden/>
    <w:unhideWhenUsed/>
    <w:rsid w:val="00C43D1A"/>
    <w:rPr>
      <w:color w:val="800080"/>
      <w:u w:val="single"/>
    </w:rPr>
  </w:style>
  <w:style w:type="character" w:customStyle="1" w:styleId="Heading3Char">
    <w:name w:val="Heading 3 Char"/>
    <w:link w:val="Heading3"/>
    <w:uiPriority w:val="9"/>
    <w:semiHidden/>
    <w:rsid w:val="009E04B3"/>
    <w:rPr>
      <w:rFonts w:ascii="Cambria" w:eastAsia="Times New Roman" w:hAnsi="Cambria" w:cs="Times New Roman"/>
      <w:b/>
      <w:bCs/>
      <w:sz w:val="26"/>
      <w:szCs w:val="26"/>
    </w:rPr>
  </w:style>
  <w:style w:type="character" w:customStyle="1" w:styleId="campus">
    <w:name w:val="campus"/>
    <w:rsid w:val="002830C0"/>
  </w:style>
  <w:style w:type="table" w:styleId="GridTable1Light">
    <w:name w:val="Grid Table 1 Light"/>
    <w:basedOn w:val="TableNormal"/>
    <w:uiPriority w:val="46"/>
    <w:rsid w:val="00CC345D"/>
    <w:rPr>
      <w:rFonts w:eastAsia="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6">
    <w:name w:val="l6"/>
    <w:rsid w:val="003400B3"/>
  </w:style>
  <w:style w:type="table" w:customStyle="1" w:styleId="GridTable5DarkAccent5">
    <w:name w:val="Grid Table 5 Dark Accent 5"/>
    <w:basedOn w:val="TableNormal"/>
    <w:uiPriority w:val="50"/>
    <w:rsid w:val="003400B3"/>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4Accent5">
    <w:name w:val="Grid Table 4 Accent 5"/>
    <w:basedOn w:val="TableNormal"/>
    <w:uiPriority w:val="49"/>
    <w:rsid w:val="003400B3"/>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Cite">
    <w:name w:val="HTML Cite"/>
    <w:uiPriority w:val="99"/>
    <w:semiHidden/>
    <w:unhideWhenUsed/>
    <w:rsid w:val="00C6572D"/>
    <w:rPr>
      <w:i/>
      <w:iCs/>
    </w:rPr>
  </w:style>
  <w:style w:type="character" w:customStyle="1" w:styleId="Heading1Char">
    <w:name w:val="Heading 1 Char"/>
    <w:link w:val="Heading1"/>
    <w:uiPriority w:val="9"/>
    <w:rsid w:val="00D111D2"/>
    <w:rPr>
      <w:rFonts w:ascii="Cambria" w:eastAsia="Times New Roman" w:hAnsi="Cambria" w:cs="Times New Roman"/>
      <w:b/>
      <w:bCs/>
      <w:kern w:val="32"/>
      <w:sz w:val="32"/>
      <w:szCs w:val="32"/>
    </w:rPr>
  </w:style>
  <w:style w:type="table" w:styleId="PlainTable5">
    <w:name w:val="Plain Table 5"/>
    <w:basedOn w:val="TableNormal"/>
    <w:uiPriority w:val="45"/>
    <w:rsid w:val="001977CA"/>
    <w:rPr>
      <w:sz w:val="22"/>
      <w:szCs w:val="22"/>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
    <w:name w:val="a"/>
    <w:rsid w:val="006B49A4"/>
  </w:style>
  <w:style w:type="table" w:styleId="GridTable4-Accent1">
    <w:name w:val="Grid Table 4 Accent 1"/>
    <w:basedOn w:val="TableNormal"/>
    <w:uiPriority w:val="49"/>
    <w:rsid w:val="006D357F"/>
    <w:rPr>
      <w:sz w:val="22"/>
      <w:szCs w:val="22"/>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styleId="GridTable4-Accent3">
    <w:name w:val="Grid Table 4 Accent 3"/>
    <w:basedOn w:val="TableNormal"/>
    <w:uiPriority w:val="49"/>
    <w:rsid w:val="006D357F"/>
    <w:rPr>
      <w:sz w:val="22"/>
      <w:szCs w:val="22"/>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5583">
      <w:bodyDiv w:val="1"/>
      <w:marLeft w:val="0"/>
      <w:marRight w:val="0"/>
      <w:marTop w:val="0"/>
      <w:marBottom w:val="0"/>
      <w:divBdr>
        <w:top w:val="none" w:sz="0" w:space="0" w:color="auto"/>
        <w:left w:val="none" w:sz="0" w:space="0" w:color="auto"/>
        <w:bottom w:val="none" w:sz="0" w:space="0" w:color="auto"/>
        <w:right w:val="none" w:sz="0" w:space="0" w:color="auto"/>
      </w:divBdr>
    </w:div>
    <w:div w:id="274605329">
      <w:bodyDiv w:val="1"/>
      <w:marLeft w:val="0"/>
      <w:marRight w:val="0"/>
      <w:marTop w:val="0"/>
      <w:marBottom w:val="0"/>
      <w:divBdr>
        <w:top w:val="none" w:sz="0" w:space="0" w:color="auto"/>
        <w:left w:val="none" w:sz="0" w:space="0" w:color="auto"/>
        <w:bottom w:val="none" w:sz="0" w:space="0" w:color="auto"/>
        <w:right w:val="none" w:sz="0" w:space="0" w:color="auto"/>
      </w:divBdr>
    </w:div>
    <w:div w:id="572813702">
      <w:bodyDiv w:val="1"/>
      <w:marLeft w:val="0"/>
      <w:marRight w:val="0"/>
      <w:marTop w:val="0"/>
      <w:marBottom w:val="0"/>
      <w:divBdr>
        <w:top w:val="none" w:sz="0" w:space="0" w:color="auto"/>
        <w:left w:val="none" w:sz="0" w:space="0" w:color="auto"/>
        <w:bottom w:val="none" w:sz="0" w:space="0" w:color="auto"/>
        <w:right w:val="none" w:sz="0" w:space="0" w:color="auto"/>
      </w:divBdr>
    </w:div>
    <w:div w:id="580990292">
      <w:bodyDiv w:val="1"/>
      <w:marLeft w:val="0"/>
      <w:marRight w:val="0"/>
      <w:marTop w:val="0"/>
      <w:marBottom w:val="0"/>
      <w:divBdr>
        <w:top w:val="none" w:sz="0" w:space="0" w:color="auto"/>
        <w:left w:val="none" w:sz="0" w:space="0" w:color="auto"/>
        <w:bottom w:val="none" w:sz="0" w:space="0" w:color="auto"/>
        <w:right w:val="none" w:sz="0" w:space="0" w:color="auto"/>
      </w:divBdr>
    </w:div>
    <w:div w:id="768694651">
      <w:bodyDiv w:val="1"/>
      <w:marLeft w:val="0"/>
      <w:marRight w:val="0"/>
      <w:marTop w:val="0"/>
      <w:marBottom w:val="0"/>
      <w:divBdr>
        <w:top w:val="none" w:sz="0" w:space="0" w:color="auto"/>
        <w:left w:val="none" w:sz="0" w:space="0" w:color="auto"/>
        <w:bottom w:val="none" w:sz="0" w:space="0" w:color="auto"/>
        <w:right w:val="none" w:sz="0" w:space="0" w:color="auto"/>
      </w:divBdr>
    </w:div>
    <w:div w:id="1298298011">
      <w:bodyDiv w:val="1"/>
      <w:marLeft w:val="0"/>
      <w:marRight w:val="0"/>
      <w:marTop w:val="0"/>
      <w:marBottom w:val="0"/>
      <w:divBdr>
        <w:top w:val="none" w:sz="0" w:space="0" w:color="auto"/>
        <w:left w:val="none" w:sz="0" w:space="0" w:color="auto"/>
        <w:bottom w:val="none" w:sz="0" w:space="0" w:color="auto"/>
        <w:right w:val="none" w:sz="0" w:space="0" w:color="auto"/>
      </w:divBdr>
    </w:div>
    <w:div w:id="2027555603">
      <w:bodyDiv w:val="1"/>
      <w:marLeft w:val="0"/>
      <w:marRight w:val="0"/>
      <w:marTop w:val="0"/>
      <w:marBottom w:val="0"/>
      <w:divBdr>
        <w:top w:val="none" w:sz="0" w:space="0" w:color="auto"/>
        <w:left w:val="none" w:sz="0" w:space="0" w:color="auto"/>
        <w:bottom w:val="none" w:sz="0" w:space="0" w:color="auto"/>
        <w:right w:val="none" w:sz="0" w:space="0" w:color="auto"/>
      </w:divBdr>
    </w:div>
    <w:div w:id="2085250797">
      <w:bodyDiv w:val="1"/>
      <w:marLeft w:val="0"/>
      <w:marRight w:val="0"/>
      <w:marTop w:val="0"/>
      <w:marBottom w:val="0"/>
      <w:divBdr>
        <w:top w:val="none" w:sz="0" w:space="0" w:color="auto"/>
        <w:left w:val="none" w:sz="0" w:space="0" w:color="auto"/>
        <w:bottom w:val="none" w:sz="0" w:space="0" w:color="auto"/>
        <w:right w:val="none" w:sz="0" w:space="0" w:color="auto"/>
      </w:divBdr>
    </w:div>
    <w:div w:id="2122410581">
      <w:bodyDiv w:val="1"/>
      <w:marLeft w:val="0"/>
      <w:marRight w:val="0"/>
      <w:marTop w:val="0"/>
      <w:marBottom w:val="0"/>
      <w:divBdr>
        <w:top w:val="none" w:sz="0" w:space="0" w:color="auto"/>
        <w:left w:val="none" w:sz="0" w:space="0" w:color="auto"/>
        <w:bottom w:val="none" w:sz="0" w:space="0" w:color="auto"/>
        <w:right w:val="none" w:sz="0" w:space="0" w:color="auto"/>
      </w:divBdr>
    </w:div>
    <w:div w:id="21259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n.to/2ys7DI4"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bit.ly/2gI433d" TargetMode="External"/><Relationship Id="rId10" Type="http://schemas.openxmlformats.org/officeDocument/2006/relationships/hyperlink" Target="http://bit.ly/2zqGgN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re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b="1" baseline="0">
                <a:solidFill>
                  <a:schemeClr val="tx1"/>
                </a:solidFill>
                <a:latin typeface="Century Gothic" panose="020B0502020202020204" pitchFamily="34" charset="0"/>
              </a:rPr>
              <a:t>Non-Homeowners: Delay from Buying a Home</a:t>
            </a:r>
          </a:p>
        </c:rich>
      </c:tx>
      <c:overlay val="0"/>
      <c:spPr>
        <a:noFill/>
        <a:ln w="25358">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358">
              <a:noFill/>
            </a:ln>
          </c:spPr>
          <c:invertIfNegative val="0"/>
          <c:dLbls>
            <c:spPr>
              <a:noFill/>
              <a:ln w="2535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5"/>
                <c:pt idx="0">
                  <c:v>Yes, impacted</c:v>
                </c:pt>
                <c:pt idx="1">
                  <c:v>No, student loan debt had no impact on ability to purchase</c:v>
                </c:pt>
                <c:pt idx="2">
                  <c:v>No, ability to purchase a home is a result of attending college &amp; improved long-term economic stability</c:v>
                </c:pt>
                <c:pt idx="3">
                  <c:v>Don't know</c:v>
                </c:pt>
                <c:pt idx="4">
                  <c:v>Don't want to own</c:v>
                </c:pt>
              </c:strCache>
            </c:strRef>
          </c:cat>
          <c:val>
            <c:numRef>
              <c:f>Sheet1!$B$2:$B$7</c:f>
              <c:numCache>
                <c:formatCode>0%</c:formatCode>
                <c:ptCount val="6"/>
                <c:pt idx="0">
                  <c:v>0.83</c:v>
                </c:pt>
                <c:pt idx="1">
                  <c:v>0.03</c:v>
                </c:pt>
                <c:pt idx="2">
                  <c:v>0.02</c:v>
                </c:pt>
                <c:pt idx="3">
                  <c:v>7.0000000000000007E-2</c:v>
                </c:pt>
                <c:pt idx="4">
                  <c:v>0.03</c:v>
                </c:pt>
              </c:numCache>
            </c:numRef>
          </c:val>
        </c:ser>
        <c:dLbls>
          <c:showLegendKey val="0"/>
          <c:showVal val="0"/>
          <c:showCatName val="0"/>
          <c:showSerName val="0"/>
          <c:showPercent val="0"/>
          <c:showBubbleSize val="0"/>
        </c:dLbls>
        <c:gapWidth val="219"/>
        <c:overlap val="-27"/>
        <c:axId val="443472352"/>
        <c:axId val="443472744"/>
      </c:barChart>
      <c:catAx>
        <c:axId val="443472352"/>
        <c:scaling>
          <c:orientation val="minMax"/>
        </c:scaling>
        <c:delete val="0"/>
        <c:axPos val="b"/>
        <c:numFmt formatCode="General" sourceLinked="1"/>
        <c:majorTickMark val="none"/>
        <c:minorTickMark val="none"/>
        <c:tickLblPos val="nextTo"/>
        <c:spPr>
          <a:noFill/>
          <a:ln w="9509"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baseline="0">
                <a:solidFill>
                  <a:schemeClr val="tx1"/>
                </a:solidFill>
                <a:latin typeface="Century Gothic" panose="020B0502020202020204" pitchFamily="34" charset="0"/>
                <a:ea typeface="+mn-ea"/>
                <a:cs typeface="+mn-cs"/>
              </a:defRPr>
            </a:pPr>
            <a:endParaRPr lang="en-US"/>
          </a:p>
        </c:txPr>
        <c:crossAx val="443472744"/>
        <c:crosses val="autoZero"/>
        <c:auto val="1"/>
        <c:lblAlgn val="ctr"/>
        <c:lblOffset val="100"/>
        <c:noMultiLvlLbl val="0"/>
      </c:catAx>
      <c:valAx>
        <c:axId val="443472744"/>
        <c:scaling>
          <c:orientation val="minMax"/>
        </c:scaling>
        <c:delete val="0"/>
        <c:axPos val="l"/>
        <c:majorGridlines>
          <c:spPr>
            <a:ln w="9509" cap="flat" cmpd="sng" algn="ctr">
              <a:solidFill>
                <a:schemeClr val="tx1">
                  <a:lumMod val="15000"/>
                  <a:lumOff val="85000"/>
                </a:schemeClr>
              </a:solidFill>
              <a:round/>
            </a:ln>
            <a:effectLst/>
          </c:spPr>
        </c:majorGridlines>
        <c:numFmt formatCode="0%" sourceLinked="1"/>
        <c:majorTickMark val="none"/>
        <c:minorTickMark val="none"/>
        <c:tickLblPos val="nextTo"/>
        <c:spPr>
          <a:ln w="6340">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443472352"/>
        <c:crosses val="autoZero"/>
        <c:crossBetween val="between"/>
      </c:valAx>
      <c:spPr>
        <a:noFill/>
        <a:ln w="25358">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solidFill>
                <a:latin typeface="+mn-lt"/>
                <a:ea typeface="+mn-ea"/>
                <a:cs typeface="+mn-cs"/>
              </a:defRPr>
            </a:pPr>
            <a:r>
              <a:rPr lang="en-US" b="1" baseline="0">
                <a:solidFill>
                  <a:schemeClr val="tx1"/>
                </a:solidFill>
              </a:rPr>
              <a:t>Reasons for Delay Buying a Home</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Reasons for Delay Buying a Home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Don't have financial know-how to confidently navigate the housing market</c:v>
                </c:pt>
                <c:pt idx="1">
                  <c:v>Can't afford the preferred house or neighborhood</c:v>
                </c:pt>
                <c:pt idx="2">
                  <c:v>Can't qualify for a mortgage due to debt-to-income ratio</c:v>
                </c:pt>
                <c:pt idx="3">
                  <c:v>Don't feel financially secure enough because of existing student debt to buy a house</c:v>
                </c:pt>
                <c:pt idx="4">
                  <c:v>Can't save for a downpayment because of student debt</c:v>
                </c:pt>
              </c:strCache>
            </c:strRef>
          </c:cat>
          <c:val>
            <c:numRef>
              <c:f>Sheet1!$B$2:$B$6</c:f>
              <c:numCache>
                <c:formatCode>0%</c:formatCode>
                <c:ptCount val="5"/>
                <c:pt idx="0">
                  <c:v>0.18</c:v>
                </c:pt>
                <c:pt idx="1">
                  <c:v>0.47</c:v>
                </c:pt>
                <c:pt idx="2">
                  <c:v>0.52</c:v>
                </c:pt>
                <c:pt idx="3">
                  <c:v>0.74</c:v>
                </c:pt>
                <c:pt idx="4">
                  <c:v>0.85</c:v>
                </c:pt>
              </c:numCache>
            </c:numRef>
          </c:val>
        </c:ser>
        <c:dLbls>
          <c:showLegendKey val="0"/>
          <c:showVal val="0"/>
          <c:showCatName val="0"/>
          <c:showSerName val="0"/>
          <c:showPercent val="0"/>
          <c:showBubbleSize val="0"/>
        </c:dLbls>
        <c:gapWidth val="182"/>
        <c:axId val="443471568"/>
        <c:axId val="443471176"/>
      </c:barChart>
      <c:catAx>
        <c:axId val="443471568"/>
        <c:scaling>
          <c:orientation val="minMax"/>
        </c:scaling>
        <c:delete val="0"/>
        <c:axPos val="l"/>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71176"/>
        <c:crosses val="autoZero"/>
        <c:auto val="1"/>
        <c:lblAlgn val="ctr"/>
        <c:lblOffset val="100"/>
        <c:noMultiLvlLbl val="0"/>
      </c:catAx>
      <c:valAx>
        <c:axId val="443471176"/>
        <c:scaling>
          <c:orientation val="minMax"/>
        </c:scaling>
        <c:delete val="0"/>
        <c:axPos val="b"/>
        <c:majorGridlines>
          <c:spPr>
            <a:ln w="952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71568"/>
        <c:crosses val="autoZero"/>
        <c:crossBetween val="between"/>
      </c:valAx>
      <c:spPr>
        <a:noFill/>
        <a:ln w="25412">
          <a:noFill/>
        </a:ln>
      </c:spPr>
    </c:plotArea>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baseline="0">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solidFill>
                <a:latin typeface="+mn-lt"/>
                <a:ea typeface="+mn-ea"/>
                <a:cs typeface="+mn-cs"/>
              </a:defRPr>
            </a:pPr>
            <a:r>
              <a:rPr lang="en-US" baseline="0">
                <a:solidFill>
                  <a:schemeClr val="tx1"/>
                </a:solidFill>
              </a:rPr>
              <a:t>Most Residents Prefer to Stay in Their Current City When They're 80+ Years Old</a:t>
            </a:r>
          </a:p>
        </c:rich>
      </c:tx>
      <c:overlay val="0"/>
      <c:spPr>
        <a:noFill/>
        <a:ln>
          <a:noFill/>
        </a:ln>
        <a:effectLst/>
      </c:spPr>
    </c:title>
    <c:autoTitleDeleted val="0"/>
    <c:plotArea>
      <c:layout/>
      <c:barChart>
        <c:barDir val="col"/>
        <c:grouping val="stacked"/>
        <c:varyColors val="0"/>
        <c:ser>
          <c:idx val="0"/>
          <c:order val="0"/>
          <c:tx>
            <c:strRef>
              <c:f>Sheet1!$B$1</c:f>
              <c:strCache>
                <c:ptCount val="1"/>
                <c:pt idx="0">
                  <c:v>Move elsewhere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1"/>
                <c:pt idx="0">
                  <c:v>Overall</c:v>
                </c:pt>
                <c:pt idx="1">
                  <c:v>Boston</c:v>
                </c:pt>
                <c:pt idx="2">
                  <c:v>Chicago</c:v>
                </c:pt>
                <c:pt idx="3">
                  <c:v>Houston</c:v>
                </c:pt>
                <c:pt idx="4">
                  <c:v>Los Angeles</c:v>
                </c:pt>
                <c:pt idx="5">
                  <c:v>Miami</c:v>
                </c:pt>
                <c:pt idx="6">
                  <c:v>New York City</c:v>
                </c:pt>
                <c:pt idx="7">
                  <c:v>San Francisco</c:v>
                </c:pt>
                <c:pt idx="8">
                  <c:v>Seattle</c:v>
                </c:pt>
                <c:pt idx="9">
                  <c:v>Toronto</c:v>
                </c:pt>
                <c:pt idx="10">
                  <c:v>Washington, D.C.</c:v>
                </c:pt>
              </c:strCache>
            </c:strRef>
          </c:cat>
          <c:val>
            <c:numRef>
              <c:f>Sheet1!$B$2:$B$13</c:f>
              <c:numCache>
                <c:formatCode>General</c:formatCode>
                <c:ptCount val="12"/>
                <c:pt idx="0">
                  <c:v>31</c:v>
                </c:pt>
                <c:pt idx="1">
                  <c:v>31</c:v>
                </c:pt>
                <c:pt idx="2">
                  <c:v>34</c:v>
                </c:pt>
                <c:pt idx="3">
                  <c:v>25</c:v>
                </c:pt>
                <c:pt idx="4">
                  <c:v>33</c:v>
                </c:pt>
                <c:pt idx="5">
                  <c:v>30</c:v>
                </c:pt>
                <c:pt idx="6">
                  <c:v>35</c:v>
                </c:pt>
                <c:pt idx="7">
                  <c:v>29</c:v>
                </c:pt>
                <c:pt idx="8">
                  <c:v>32</c:v>
                </c:pt>
                <c:pt idx="9">
                  <c:v>27</c:v>
                </c:pt>
                <c:pt idx="10">
                  <c:v>32</c:v>
                </c:pt>
              </c:numCache>
            </c:numRef>
          </c:val>
        </c:ser>
        <c:ser>
          <c:idx val="1"/>
          <c:order val="1"/>
          <c:tx>
            <c:strRef>
              <c:f>Sheet1!$C$1</c:f>
              <c:strCache>
                <c:ptCount val="1"/>
                <c:pt idx="0">
                  <c:v>Stay in City</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1"/>
                <c:pt idx="0">
                  <c:v>Overall</c:v>
                </c:pt>
                <c:pt idx="1">
                  <c:v>Boston</c:v>
                </c:pt>
                <c:pt idx="2">
                  <c:v>Chicago</c:v>
                </c:pt>
                <c:pt idx="3">
                  <c:v>Houston</c:v>
                </c:pt>
                <c:pt idx="4">
                  <c:v>Los Angeles</c:v>
                </c:pt>
                <c:pt idx="5">
                  <c:v>Miami</c:v>
                </c:pt>
                <c:pt idx="6">
                  <c:v>New York City</c:v>
                </c:pt>
                <c:pt idx="7">
                  <c:v>San Francisco</c:v>
                </c:pt>
                <c:pt idx="8">
                  <c:v>Seattle</c:v>
                </c:pt>
                <c:pt idx="9">
                  <c:v>Toronto</c:v>
                </c:pt>
                <c:pt idx="10">
                  <c:v>Washington, D.C.</c:v>
                </c:pt>
              </c:strCache>
            </c:strRef>
          </c:cat>
          <c:val>
            <c:numRef>
              <c:f>Sheet1!$C$2:$C$13</c:f>
              <c:numCache>
                <c:formatCode>General</c:formatCode>
                <c:ptCount val="12"/>
                <c:pt idx="0">
                  <c:v>69</c:v>
                </c:pt>
                <c:pt idx="1">
                  <c:v>69</c:v>
                </c:pt>
                <c:pt idx="2">
                  <c:v>66</c:v>
                </c:pt>
                <c:pt idx="3">
                  <c:v>75</c:v>
                </c:pt>
                <c:pt idx="4">
                  <c:v>67</c:v>
                </c:pt>
                <c:pt idx="5">
                  <c:v>70</c:v>
                </c:pt>
                <c:pt idx="6">
                  <c:v>65</c:v>
                </c:pt>
                <c:pt idx="7">
                  <c:v>71</c:v>
                </c:pt>
                <c:pt idx="8">
                  <c:v>68</c:v>
                </c:pt>
                <c:pt idx="9">
                  <c:v>73</c:v>
                </c:pt>
                <c:pt idx="10">
                  <c:v>68</c:v>
                </c:pt>
              </c:numCache>
            </c:numRef>
          </c:val>
        </c:ser>
        <c:dLbls>
          <c:showLegendKey val="0"/>
          <c:showVal val="0"/>
          <c:showCatName val="0"/>
          <c:showSerName val="0"/>
          <c:showPercent val="0"/>
          <c:showBubbleSize val="0"/>
        </c:dLbls>
        <c:gapWidth val="150"/>
        <c:overlap val="100"/>
        <c:axId val="443474312"/>
        <c:axId val="443473528"/>
      </c:barChart>
      <c:catAx>
        <c:axId val="443474312"/>
        <c:scaling>
          <c:orientation val="minMax"/>
        </c:scaling>
        <c:delete val="0"/>
        <c:axPos val="b"/>
        <c:numFmt formatCode="General" sourceLinked="1"/>
        <c:majorTickMark val="none"/>
        <c:minorTickMark val="none"/>
        <c:tickLblPos val="nextTo"/>
        <c:spPr>
          <a:noFill/>
          <a:ln w="9529"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73528"/>
        <c:crosses val="autoZero"/>
        <c:auto val="1"/>
        <c:lblAlgn val="ctr"/>
        <c:lblOffset val="100"/>
        <c:noMultiLvlLbl val="0"/>
      </c:catAx>
      <c:valAx>
        <c:axId val="443473528"/>
        <c:scaling>
          <c:orientation val="minMax"/>
        </c:scaling>
        <c:delete val="0"/>
        <c:axPos val="l"/>
        <c:majorGridlines>
          <c:spPr>
            <a:ln w="9529"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74312"/>
        <c:crosses val="autoZero"/>
        <c:crossBetween val="between"/>
      </c:valAx>
      <c:spPr>
        <a:noFill/>
        <a:ln w="25412">
          <a:noFill/>
        </a:ln>
      </c:spPr>
    </c:plotArea>
    <c:legend>
      <c:legendPos val="b"/>
      <c:layout>
        <c:manualLayout>
          <c:xMode val="edge"/>
          <c:yMode val="edge"/>
          <c:x val="0.30028328611898014"/>
          <c:y val="0.90886699507389168"/>
          <c:w val="0.39376770538243627"/>
          <c:h val="6.89655172413793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9"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spc="0" baseline="0">
                <a:solidFill>
                  <a:schemeClr val="tx1"/>
                </a:solidFill>
                <a:latin typeface="Century Gothic" panose="020B0502020202020204" pitchFamily="34" charset="0"/>
                <a:ea typeface="+mn-ea"/>
                <a:cs typeface="+mn-cs"/>
              </a:defRPr>
            </a:pPr>
            <a:r>
              <a:rPr lang="en-US" b="1" i="0" baseline="0">
                <a:solidFill>
                  <a:schemeClr val="tx1"/>
                </a:solidFill>
                <a:latin typeface="Century Gothic" panose="020B0502020202020204" pitchFamily="34" charset="0"/>
              </a:rPr>
              <a:t>Good Time to Buy a Home, Strongly or Moderately</a:t>
            </a:r>
          </a:p>
        </c:rich>
      </c:tx>
      <c:overlay val="0"/>
      <c:spPr>
        <a:noFill/>
        <a:ln>
          <a:noFill/>
        </a:ln>
        <a:effectLst/>
      </c:spPr>
    </c:title>
    <c:autoTitleDeleted val="0"/>
    <c:plotArea>
      <c:layout/>
      <c:barChart>
        <c:barDir val="col"/>
        <c:grouping val="stacked"/>
        <c:varyColors val="0"/>
        <c:ser>
          <c:idx val="0"/>
          <c:order val="0"/>
          <c:tx>
            <c:strRef>
              <c:f>Sheet1!$B$1</c:f>
              <c:strCache>
                <c:ptCount val="1"/>
                <c:pt idx="0">
                  <c:v>Strongly</c:v>
                </c:pt>
              </c:strCache>
            </c:strRef>
          </c:tx>
          <c:spPr>
            <a:solidFill>
              <a:schemeClr val="accent1"/>
            </a:solidFill>
            <a:ln>
              <a:noFill/>
            </a:ln>
            <a:effectLst/>
          </c:spPr>
          <c:invertIfNegative val="0"/>
          <c:dLbls>
            <c:dLbl>
              <c:idx val="5"/>
              <c:tx>
                <c:rich>
                  <a:bodyPr/>
                  <a:lstStyle/>
                  <a:p>
                    <a:r>
                      <a:rPr lang="en-US"/>
                      <a:t>43%</a:t>
                    </a:r>
                  </a:p>
                </c:rich>
              </c:tx>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Q1 2016</c:v>
                </c:pt>
                <c:pt idx="1">
                  <c:v>Q2 2016</c:v>
                </c:pt>
                <c:pt idx="2">
                  <c:v>Q3 2016</c:v>
                </c:pt>
                <c:pt idx="3">
                  <c:v>Q4 2016</c:v>
                </c:pt>
                <c:pt idx="4">
                  <c:v>Q1 2017</c:v>
                </c:pt>
                <c:pt idx="5">
                  <c:v>Q2 2017</c:v>
                </c:pt>
                <c:pt idx="6">
                  <c:v>Q3 2017</c:v>
                </c:pt>
              </c:strCache>
            </c:strRef>
          </c:cat>
          <c:val>
            <c:numRef>
              <c:f>Sheet1!$B$2:$B$8</c:f>
              <c:numCache>
                <c:formatCode>0%</c:formatCode>
                <c:ptCount val="7"/>
                <c:pt idx="0">
                  <c:v>0.44</c:v>
                </c:pt>
                <c:pt idx="1">
                  <c:v>0.42</c:v>
                </c:pt>
                <c:pt idx="2">
                  <c:v>0.43</c:v>
                </c:pt>
                <c:pt idx="3">
                  <c:v>0.45</c:v>
                </c:pt>
                <c:pt idx="4">
                  <c:v>0.47</c:v>
                </c:pt>
                <c:pt idx="5">
                  <c:v>0.42</c:v>
                </c:pt>
                <c:pt idx="6">
                  <c:v>0.48</c:v>
                </c:pt>
              </c:numCache>
            </c:numRef>
          </c:val>
        </c:ser>
        <c:ser>
          <c:idx val="1"/>
          <c:order val="1"/>
          <c:tx>
            <c:strRef>
              <c:f>Sheet1!$C$1</c:f>
              <c:strCache>
                <c:ptCount val="1"/>
                <c:pt idx="0">
                  <c:v>Moderately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Q1 2016</c:v>
                </c:pt>
                <c:pt idx="1">
                  <c:v>Q2 2016</c:v>
                </c:pt>
                <c:pt idx="2">
                  <c:v>Q3 2016</c:v>
                </c:pt>
                <c:pt idx="3">
                  <c:v>Q4 2016</c:v>
                </c:pt>
                <c:pt idx="4">
                  <c:v>Q1 2017</c:v>
                </c:pt>
                <c:pt idx="5">
                  <c:v>Q2 2017</c:v>
                </c:pt>
                <c:pt idx="6">
                  <c:v>Q3 2017</c:v>
                </c:pt>
              </c:strCache>
            </c:strRef>
          </c:cat>
          <c:val>
            <c:numRef>
              <c:f>Sheet1!$C$2:$C$8</c:f>
              <c:numCache>
                <c:formatCode>0%</c:formatCode>
                <c:ptCount val="7"/>
                <c:pt idx="0">
                  <c:v>0.31</c:v>
                </c:pt>
                <c:pt idx="1">
                  <c:v>0.32</c:v>
                </c:pt>
                <c:pt idx="2">
                  <c:v>0.28000000000000003</c:v>
                </c:pt>
                <c:pt idx="3">
                  <c:v>0.25</c:v>
                </c:pt>
                <c:pt idx="4">
                  <c:v>0.23</c:v>
                </c:pt>
                <c:pt idx="5">
                  <c:v>0.28000000000000003</c:v>
                </c:pt>
                <c:pt idx="6">
                  <c:v>0.28999999999999998</c:v>
                </c:pt>
              </c:numCache>
            </c:numRef>
          </c:val>
        </c:ser>
        <c:dLbls>
          <c:showLegendKey val="0"/>
          <c:showVal val="0"/>
          <c:showCatName val="0"/>
          <c:showSerName val="0"/>
          <c:showPercent val="0"/>
          <c:showBubbleSize val="0"/>
        </c:dLbls>
        <c:gapWidth val="219"/>
        <c:overlap val="100"/>
        <c:axId val="443469608"/>
        <c:axId val="443470784"/>
      </c:barChart>
      <c:catAx>
        <c:axId val="443469608"/>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70784"/>
        <c:crosses val="autoZero"/>
        <c:auto val="1"/>
        <c:lblAlgn val="ctr"/>
        <c:lblOffset val="100"/>
        <c:noMultiLvlLbl val="0"/>
      </c:catAx>
      <c:valAx>
        <c:axId val="443470784"/>
        <c:scaling>
          <c:orientation val="minMax"/>
        </c:scaling>
        <c:delete val="0"/>
        <c:axPos val="l"/>
        <c:majorGridlines>
          <c:spPr>
            <a:ln w="952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crossAx val="443469608"/>
        <c:crosses val="autoZero"/>
        <c:crossBetween val="between"/>
      </c:valAx>
      <c:spPr>
        <a:noFill/>
        <a:ln w="25412">
          <a:noFill/>
        </a:ln>
      </c:spPr>
    </c:plotArea>
    <c:legend>
      <c:legendPos val="b"/>
      <c:layout>
        <c:manualLayout>
          <c:xMode val="edge"/>
          <c:yMode val="edge"/>
          <c:x val="0.34419263456090643"/>
          <c:y val="0.90640394088669962"/>
          <c:w val="0.29461756373937681"/>
          <c:h val="6.89655172413793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6E66-9875-4C49-952A-045FCCA6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Links>
    <vt:vector size="24" baseType="variant">
      <vt:variant>
        <vt:i4>1966175</vt:i4>
      </vt:variant>
      <vt:variant>
        <vt:i4>18</vt:i4>
      </vt:variant>
      <vt:variant>
        <vt:i4>0</vt:i4>
      </vt:variant>
      <vt:variant>
        <vt:i4>5</vt:i4>
      </vt:variant>
      <vt:variant>
        <vt:lpwstr>http://bit.ly/2gI433d</vt:lpwstr>
      </vt:variant>
      <vt:variant>
        <vt:lpwstr/>
      </vt:variant>
      <vt:variant>
        <vt:i4>4784159</vt:i4>
      </vt:variant>
      <vt:variant>
        <vt:i4>12</vt:i4>
      </vt:variant>
      <vt:variant>
        <vt:i4>0</vt:i4>
      </vt:variant>
      <vt:variant>
        <vt:i4>5</vt:i4>
      </vt:variant>
      <vt:variant>
        <vt:lpwstr>http://prn.to/2ys7DI4</vt:lpwstr>
      </vt:variant>
      <vt:variant>
        <vt:lpwstr/>
      </vt:variant>
      <vt:variant>
        <vt:i4>851987</vt:i4>
      </vt:variant>
      <vt:variant>
        <vt:i4>3</vt:i4>
      </vt:variant>
      <vt:variant>
        <vt:i4>0</vt:i4>
      </vt:variant>
      <vt:variant>
        <vt:i4>5</vt:i4>
      </vt:variant>
      <vt:variant>
        <vt:lpwstr>http://bit.ly/2zqGgN3</vt:lpwstr>
      </vt:variant>
      <vt:variant>
        <vt:lpwstr/>
      </vt:variant>
      <vt:variant>
        <vt:i4>1245265</vt:i4>
      </vt:variant>
      <vt:variant>
        <vt:i4>0</vt:i4>
      </vt:variant>
      <vt:variant>
        <vt:i4>0</vt:i4>
      </vt:variant>
      <vt:variant>
        <vt:i4>5</vt:i4>
      </vt:variant>
      <vt:variant>
        <vt:lpwstr>http://www.sres./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cp:lastModifiedBy>Akerly, Evan</cp:lastModifiedBy>
  <cp:revision>2</cp:revision>
  <dcterms:created xsi:type="dcterms:W3CDTF">2018-02-12T22:50:00Z</dcterms:created>
  <dcterms:modified xsi:type="dcterms:W3CDTF">2018-02-12T22:50:00Z</dcterms:modified>
</cp:coreProperties>
</file>